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F0DA" w14:textId="77777777" w:rsidR="0040248B" w:rsidRDefault="0040248B" w:rsidP="0040248B">
      <w:pPr>
        <w:jc w:val="center"/>
      </w:pPr>
    </w:p>
    <w:p w14:paraId="05F0C30D" w14:textId="77777777" w:rsidR="0040248B" w:rsidRDefault="002E0DD0" w:rsidP="0040248B">
      <w:pPr>
        <w:jc w:val="center"/>
        <w:rPr>
          <w:rFonts w:cstheme="minorHAnsi"/>
          <w:b/>
          <w:sz w:val="24"/>
          <w:szCs w:val="24"/>
        </w:rPr>
      </w:pPr>
      <w:r>
        <w:rPr>
          <w:rFonts w:cstheme="minorHAnsi"/>
          <w:b/>
          <w:sz w:val="24"/>
          <w:szCs w:val="24"/>
        </w:rPr>
        <w:t>University of Louisiana at Monroe</w:t>
      </w:r>
    </w:p>
    <w:p w14:paraId="007773C3" w14:textId="77777777" w:rsidR="002E0DD0" w:rsidRPr="002E0DD0" w:rsidRDefault="006562E3" w:rsidP="0040248B">
      <w:pPr>
        <w:jc w:val="center"/>
        <w:rPr>
          <w:rFonts w:cstheme="minorHAnsi"/>
          <w:b/>
          <w:sz w:val="24"/>
          <w:szCs w:val="24"/>
        </w:rPr>
      </w:pPr>
      <w:r>
        <w:rPr>
          <w:rFonts w:cstheme="minorHAnsi"/>
          <w:b/>
          <w:sz w:val="24"/>
          <w:szCs w:val="24"/>
        </w:rPr>
        <w:t>College</w:t>
      </w:r>
      <w:r w:rsidR="002E0DD0">
        <w:rPr>
          <w:rFonts w:cstheme="minorHAnsi"/>
          <w:b/>
          <w:sz w:val="24"/>
          <w:szCs w:val="24"/>
        </w:rPr>
        <w:t xml:space="preserve"> of Pharmacy Animal Vivarium</w:t>
      </w:r>
    </w:p>
    <w:p w14:paraId="01A0AF80" w14:textId="77777777" w:rsidR="0040248B" w:rsidRPr="002E0DD0" w:rsidRDefault="0040248B" w:rsidP="0040248B">
      <w:pPr>
        <w:jc w:val="center"/>
        <w:rPr>
          <w:rFonts w:cstheme="minorHAnsi"/>
          <w:b/>
          <w:sz w:val="24"/>
          <w:szCs w:val="24"/>
        </w:rPr>
      </w:pPr>
      <w:r w:rsidRPr="002E0DD0">
        <w:rPr>
          <w:rFonts w:cstheme="minorHAnsi"/>
          <w:b/>
          <w:sz w:val="24"/>
          <w:szCs w:val="24"/>
        </w:rPr>
        <w:t>CARBON DIOXIDE EUTHANASIA OF RODENTS</w:t>
      </w:r>
    </w:p>
    <w:p w14:paraId="0C7962B3" w14:textId="77777777" w:rsidR="0040248B" w:rsidRPr="0040248B" w:rsidRDefault="0040248B" w:rsidP="0040248B">
      <w:pPr>
        <w:rPr>
          <w:rFonts w:cstheme="minorHAnsi"/>
          <w:b/>
        </w:rPr>
      </w:pPr>
    </w:p>
    <w:p w14:paraId="27CC178C" w14:textId="77777777" w:rsidR="0040248B" w:rsidRPr="00490DC4" w:rsidRDefault="0040248B" w:rsidP="0040248B">
      <w:pPr>
        <w:rPr>
          <w:rFonts w:cstheme="minorHAnsi"/>
          <w:b/>
          <w:sz w:val="20"/>
          <w:szCs w:val="20"/>
        </w:rPr>
      </w:pPr>
      <w:r w:rsidRPr="00490DC4">
        <w:rPr>
          <w:rFonts w:cstheme="minorHAnsi"/>
          <w:b/>
          <w:sz w:val="20"/>
          <w:szCs w:val="20"/>
        </w:rPr>
        <w:t>To the greatest extent possible, animals being euthanized should not experience pain, fear, or other significant stress prior to their death.  Carbon dioxide (CO2) is a frequently used euthanasia agent for small laboratory animals due to its rapid onset of action, safety, low cost, and ready availability (</w:t>
      </w:r>
      <w:hyperlink r:id="rId4" w:history="1">
        <w:r w:rsidRPr="005E76E7">
          <w:rPr>
            <w:rStyle w:val="Hyperlink"/>
            <w:rFonts w:cstheme="minorHAnsi"/>
            <w:b/>
            <w:sz w:val="20"/>
            <w:szCs w:val="20"/>
          </w:rPr>
          <w:t>ACLAM</w:t>
        </w:r>
      </w:hyperlink>
      <w:r w:rsidRPr="00490DC4">
        <w:rPr>
          <w:rFonts w:cstheme="minorHAnsi"/>
          <w:b/>
          <w:sz w:val="20"/>
          <w:szCs w:val="20"/>
        </w:rPr>
        <w:t>).  The University of Louisiana at Monroe Institutional Animal Care and Use Committee (IACUC) has adopted the following guideline to: (1) assist the research community by clarifying the specific procedures relating to the use of CO2 and (2) promote best practices and ensure that pain and distress are minimized in euthanized laboratory rodents. Guidance is derived from the Public Health Service (</w:t>
      </w:r>
      <w:hyperlink r:id="rId5" w:history="1">
        <w:r w:rsidRPr="005D3739">
          <w:rPr>
            <w:rStyle w:val="Hyperlink"/>
            <w:rFonts w:cstheme="minorHAnsi"/>
            <w:b/>
            <w:sz w:val="20"/>
            <w:szCs w:val="20"/>
          </w:rPr>
          <w:t>PHS</w:t>
        </w:r>
      </w:hyperlink>
      <w:r w:rsidRPr="00490DC4">
        <w:rPr>
          <w:rFonts w:cstheme="minorHAnsi"/>
          <w:b/>
          <w:sz w:val="20"/>
          <w:szCs w:val="20"/>
        </w:rPr>
        <w:t>), Office of Laboratory Animal Welfare (</w:t>
      </w:r>
      <w:hyperlink r:id="rId6" w:history="1">
        <w:r w:rsidRPr="005E76E7">
          <w:rPr>
            <w:rStyle w:val="Hyperlink"/>
            <w:rFonts w:cstheme="minorHAnsi"/>
            <w:b/>
            <w:sz w:val="20"/>
            <w:szCs w:val="20"/>
          </w:rPr>
          <w:t>OLAW</w:t>
        </w:r>
      </w:hyperlink>
      <w:r w:rsidRPr="00490DC4">
        <w:rPr>
          <w:rFonts w:cstheme="minorHAnsi"/>
          <w:b/>
          <w:sz w:val="20"/>
          <w:szCs w:val="20"/>
        </w:rPr>
        <w:t>), National Institutes of Health (</w:t>
      </w:r>
      <w:hyperlink r:id="rId7" w:history="1">
        <w:r w:rsidRPr="005D3739">
          <w:rPr>
            <w:rStyle w:val="Hyperlink"/>
            <w:rFonts w:cstheme="minorHAnsi"/>
            <w:b/>
            <w:sz w:val="20"/>
            <w:szCs w:val="20"/>
          </w:rPr>
          <w:t>NIH</w:t>
        </w:r>
      </w:hyperlink>
      <w:r w:rsidRPr="00490DC4">
        <w:rPr>
          <w:rFonts w:cstheme="minorHAnsi"/>
          <w:b/>
          <w:sz w:val="20"/>
          <w:szCs w:val="20"/>
        </w:rPr>
        <w:t>), the American Association of Veterinary Medicine (</w:t>
      </w:r>
      <w:hyperlink r:id="rId8" w:history="1">
        <w:r w:rsidRPr="005E76E7">
          <w:rPr>
            <w:rStyle w:val="Hyperlink"/>
            <w:rFonts w:cstheme="minorHAnsi"/>
            <w:b/>
            <w:sz w:val="20"/>
            <w:szCs w:val="20"/>
          </w:rPr>
          <w:t>AVMA</w:t>
        </w:r>
      </w:hyperlink>
      <w:r w:rsidRPr="00490DC4">
        <w:rPr>
          <w:rFonts w:cstheme="minorHAnsi"/>
          <w:b/>
          <w:sz w:val="20"/>
          <w:szCs w:val="20"/>
        </w:rPr>
        <w:t>), peer institutions, and laboratory animal medicine experts; this guideline concentrates on the following topics regarding the use of CO2 euthanasia:</w:t>
      </w:r>
    </w:p>
    <w:p w14:paraId="5BB02EFF" w14:textId="77777777" w:rsidR="0040248B" w:rsidRPr="00490DC4" w:rsidRDefault="0040248B" w:rsidP="0040248B">
      <w:pPr>
        <w:spacing w:after="0"/>
        <w:ind w:firstLine="720"/>
        <w:rPr>
          <w:rFonts w:cstheme="minorHAnsi"/>
          <w:b/>
          <w:sz w:val="20"/>
          <w:szCs w:val="20"/>
        </w:rPr>
      </w:pPr>
      <w:r w:rsidRPr="00490DC4">
        <w:rPr>
          <w:rFonts w:cstheme="minorHAnsi"/>
          <w:b/>
          <w:sz w:val="20"/>
          <w:szCs w:val="20"/>
        </w:rPr>
        <w:t>• Species</w:t>
      </w:r>
    </w:p>
    <w:p w14:paraId="1107C4E8" w14:textId="77777777" w:rsidR="0040248B" w:rsidRPr="00490DC4" w:rsidRDefault="0040248B" w:rsidP="0040248B">
      <w:pPr>
        <w:spacing w:after="0"/>
        <w:ind w:firstLine="720"/>
        <w:rPr>
          <w:rFonts w:cstheme="minorHAnsi"/>
          <w:b/>
          <w:sz w:val="20"/>
          <w:szCs w:val="20"/>
        </w:rPr>
      </w:pPr>
      <w:r w:rsidRPr="00490DC4">
        <w:rPr>
          <w:rFonts w:cstheme="minorHAnsi"/>
          <w:b/>
          <w:sz w:val="20"/>
          <w:szCs w:val="20"/>
        </w:rPr>
        <w:t>• Administering CO2</w:t>
      </w:r>
    </w:p>
    <w:p w14:paraId="7219AAB5" w14:textId="77777777" w:rsidR="0040248B" w:rsidRPr="00490DC4" w:rsidRDefault="0040248B" w:rsidP="0040248B">
      <w:pPr>
        <w:spacing w:after="0"/>
        <w:ind w:firstLine="720"/>
        <w:rPr>
          <w:rFonts w:cstheme="minorHAnsi"/>
          <w:b/>
          <w:sz w:val="20"/>
          <w:szCs w:val="20"/>
        </w:rPr>
      </w:pPr>
      <w:r w:rsidRPr="00490DC4">
        <w:rPr>
          <w:rFonts w:cstheme="minorHAnsi"/>
          <w:b/>
          <w:sz w:val="20"/>
          <w:szCs w:val="20"/>
        </w:rPr>
        <w:t>• Confirming death</w:t>
      </w:r>
    </w:p>
    <w:p w14:paraId="5DB6C4F5" w14:textId="77777777" w:rsidR="0040248B" w:rsidRPr="00490DC4" w:rsidRDefault="0040248B" w:rsidP="0040248B">
      <w:pPr>
        <w:spacing w:after="0"/>
        <w:ind w:firstLine="720"/>
        <w:rPr>
          <w:rFonts w:cstheme="minorHAnsi"/>
          <w:b/>
          <w:sz w:val="20"/>
          <w:szCs w:val="20"/>
        </w:rPr>
      </w:pPr>
      <w:r w:rsidRPr="00490DC4">
        <w:rPr>
          <w:rFonts w:cstheme="minorHAnsi"/>
          <w:b/>
          <w:sz w:val="20"/>
          <w:szCs w:val="20"/>
        </w:rPr>
        <w:t>• Exemptions</w:t>
      </w:r>
    </w:p>
    <w:p w14:paraId="47AED7BA" w14:textId="77777777" w:rsidR="0040248B" w:rsidRPr="00490DC4" w:rsidRDefault="0040248B" w:rsidP="0040248B">
      <w:pPr>
        <w:rPr>
          <w:rFonts w:cstheme="minorHAnsi"/>
          <w:b/>
          <w:sz w:val="20"/>
          <w:szCs w:val="20"/>
        </w:rPr>
      </w:pPr>
    </w:p>
    <w:p w14:paraId="1996C38E" w14:textId="77777777" w:rsidR="00F87936" w:rsidRDefault="00F87936" w:rsidP="00F87936">
      <w:pPr>
        <w:rPr>
          <w:rFonts w:cstheme="minorHAnsi"/>
          <w:b/>
          <w:sz w:val="20"/>
          <w:szCs w:val="20"/>
        </w:rPr>
      </w:pPr>
      <w:r>
        <w:rPr>
          <w:rFonts w:cstheme="minorHAnsi"/>
          <w:b/>
          <w:sz w:val="20"/>
          <w:szCs w:val="20"/>
        </w:rPr>
        <w:t>SPECIES</w:t>
      </w:r>
    </w:p>
    <w:p w14:paraId="47D8CEEA" w14:textId="77777777" w:rsidR="0040248B" w:rsidRPr="00490DC4" w:rsidRDefault="0040248B" w:rsidP="00F87936">
      <w:pPr>
        <w:rPr>
          <w:rFonts w:cstheme="minorHAnsi"/>
          <w:b/>
          <w:sz w:val="20"/>
          <w:szCs w:val="20"/>
        </w:rPr>
      </w:pPr>
      <w:r w:rsidRPr="00490DC4">
        <w:rPr>
          <w:rFonts w:cstheme="minorHAnsi"/>
          <w:b/>
          <w:sz w:val="20"/>
          <w:szCs w:val="20"/>
        </w:rPr>
        <w:t xml:space="preserve">Any rodent used for research may be euthanized by CO2 by following </w:t>
      </w:r>
      <w:r w:rsidR="008A0827">
        <w:rPr>
          <w:rFonts w:cstheme="minorHAnsi"/>
          <w:b/>
          <w:sz w:val="20"/>
          <w:szCs w:val="20"/>
        </w:rPr>
        <w:t xml:space="preserve">the guidance described below. </w:t>
      </w:r>
      <w:r w:rsidRPr="00490DC4">
        <w:rPr>
          <w:rFonts w:cstheme="minorHAnsi"/>
          <w:b/>
          <w:sz w:val="20"/>
          <w:szCs w:val="20"/>
        </w:rPr>
        <w:t>Examples include mice of the genus</w:t>
      </w:r>
      <w:r w:rsidR="00451C3D">
        <w:rPr>
          <w:rFonts w:cstheme="minorHAnsi"/>
          <w:b/>
          <w:sz w:val="20"/>
          <w:szCs w:val="20"/>
        </w:rPr>
        <w:t xml:space="preserve"> Mus</w:t>
      </w:r>
      <w:r w:rsidR="000E1687">
        <w:rPr>
          <w:rFonts w:cstheme="minorHAnsi"/>
          <w:b/>
          <w:sz w:val="20"/>
          <w:szCs w:val="20"/>
        </w:rPr>
        <w:t xml:space="preserve"> and</w:t>
      </w:r>
      <w:r w:rsidR="00451C3D">
        <w:rPr>
          <w:rFonts w:cstheme="minorHAnsi"/>
          <w:b/>
          <w:sz w:val="20"/>
          <w:szCs w:val="20"/>
        </w:rPr>
        <w:t xml:space="preserve"> rats of the genus Rattus. </w:t>
      </w:r>
    </w:p>
    <w:p w14:paraId="6386C6EA" w14:textId="77777777" w:rsidR="0040248B" w:rsidRPr="00490DC4" w:rsidRDefault="0040248B" w:rsidP="0040248B">
      <w:pPr>
        <w:spacing w:after="0"/>
        <w:rPr>
          <w:rFonts w:cstheme="minorHAnsi"/>
          <w:b/>
          <w:sz w:val="20"/>
          <w:szCs w:val="20"/>
        </w:rPr>
      </w:pPr>
    </w:p>
    <w:p w14:paraId="4489EC07" w14:textId="77777777" w:rsidR="0040248B" w:rsidRPr="00490DC4" w:rsidRDefault="0040248B" w:rsidP="0040248B">
      <w:pPr>
        <w:spacing w:after="0"/>
        <w:rPr>
          <w:rFonts w:cstheme="minorHAnsi"/>
          <w:b/>
          <w:sz w:val="20"/>
          <w:szCs w:val="20"/>
        </w:rPr>
      </w:pPr>
      <w:r w:rsidRPr="00490DC4">
        <w:rPr>
          <w:rFonts w:cstheme="minorHAnsi"/>
          <w:b/>
          <w:sz w:val="20"/>
          <w:szCs w:val="20"/>
        </w:rPr>
        <w:t>ADMINISTERING CO2</w:t>
      </w:r>
    </w:p>
    <w:p w14:paraId="7A30AD65" w14:textId="77777777" w:rsidR="0040248B" w:rsidRPr="00490DC4" w:rsidRDefault="0040248B" w:rsidP="008A0827">
      <w:pPr>
        <w:spacing w:after="0"/>
        <w:ind w:left="720"/>
        <w:rPr>
          <w:rFonts w:cstheme="minorHAnsi"/>
          <w:b/>
          <w:sz w:val="20"/>
          <w:szCs w:val="20"/>
        </w:rPr>
      </w:pPr>
      <w:r w:rsidRPr="00490DC4">
        <w:rPr>
          <w:rFonts w:cstheme="minorHAnsi"/>
          <w:b/>
          <w:sz w:val="20"/>
          <w:szCs w:val="20"/>
        </w:rPr>
        <w:t>1. All personnel administering CO2 to rodents must be properly trained (</w:t>
      </w:r>
      <w:hyperlink r:id="rId9" w:history="1">
        <w:r w:rsidRPr="002D5B5C">
          <w:rPr>
            <w:rStyle w:val="Hyperlink"/>
            <w:rFonts w:cstheme="minorHAnsi"/>
            <w:b/>
            <w:sz w:val="20"/>
            <w:szCs w:val="20"/>
          </w:rPr>
          <w:t>Guide</w:t>
        </w:r>
      </w:hyperlink>
      <w:r w:rsidRPr="00490DC4">
        <w:rPr>
          <w:rFonts w:cstheme="minorHAnsi"/>
          <w:b/>
          <w:sz w:val="20"/>
          <w:szCs w:val="20"/>
        </w:rPr>
        <w:t>).  All Principal</w:t>
      </w:r>
      <w:r w:rsidR="008A0827">
        <w:rPr>
          <w:rFonts w:cstheme="minorHAnsi"/>
          <w:b/>
          <w:sz w:val="20"/>
          <w:szCs w:val="20"/>
        </w:rPr>
        <w:t xml:space="preserve"> </w:t>
      </w:r>
      <w:r w:rsidRPr="00490DC4">
        <w:rPr>
          <w:rFonts w:cstheme="minorHAnsi"/>
          <w:b/>
          <w:sz w:val="20"/>
          <w:szCs w:val="20"/>
        </w:rPr>
        <w:t>Investigators (PI) must assure that their research staff is duly trained and adhere to animal care a</w:t>
      </w:r>
      <w:r w:rsidR="008A0827">
        <w:rPr>
          <w:rFonts w:cstheme="minorHAnsi"/>
          <w:b/>
          <w:sz w:val="20"/>
          <w:szCs w:val="20"/>
        </w:rPr>
        <w:t xml:space="preserve">nd use protocols, policies, and </w:t>
      </w:r>
      <w:r w:rsidRPr="00490DC4">
        <w:rPr>
          <w:rFonts w:cstheme="minorHAnsi"/>
          <w:b/>
          <w:sz w:val="20"/>
          <w:szCs w:val="20"/>
        </w:rPr>
        <w:t xml:space="preserve">guidelines.  Training </w:t>
      </w:r>
      <w:r w:rsidR="008A0827">
        <w:rPr>
          <w:rFonts w:cstheme="minorHAnsi"/>
          <w:b/>
          <w:sz w:val="20"/>
          <w:szCs w:val="20"/>
        </w:rPr>
        <w:t xml:space="preserve">on the use of the equipment and </w:t>
      </w:r>
      <w:r w:rsidR="000E1687">
        <w:rPr>
          <w:rFonts w:cstheme="minorHAnsi"/>
          <w:b/>
          <w:sz w:val="20"/>
          <w:szCs w:val="20"/>
        </w:rPr>
        <w:t>appropriate method</w:t>
      </w:r>
      <w:r w:rsidR="008A0827" w:rsidRPr="00490DC4">
        <w:rPr>
          <w:rFonts w:cstheme="minorHAnsi"/>
          <w:b/>
          <w:sz w:val="20"/>
          <w:szCs w:val="20"/>
        </w:rPr>
        <w:t xml:space="preserve"> of </w:t>
      </w:r>
      <w:r w:rsidR="000E1687">
        <w:rPr>
          <w:rFonts w:cstheme="minorHAnsi"/>
          <w:b/>
          <w:sz w:val="20"/>
          <w:szCs w:val="20"/>
        </w:rPr>
        <w:t xml:space="preserve">CO2 </w:t>
      </w:r>
      <w:r w:rsidR="008A0827" w:rsidRPr="00490DC4">
        <w:rPr>
          <w:rFonts w:cstheme="minorHAnsi"/>
          <w:b/>
          <w:sz w:val="20"/>
          <w:szCs w:val="20"/>
        </w:rPr>
        <w:t>euthanasia are</w:t>
      </w:r>
      <w:r w:rsidRPr="00490DC4">
        <w:rPr>
          <w:rFonts w:cstheme="minorHAnsi"/>
          <w:b/>
          <w:sz w:val="20"/>
          <w:szCs w:val="20"/>
        </w:rPr>
        <w:t xml:space="preserve"> available from the </w:t>
      </w:r>
      <w:r w:rsidR="00451C3D">
        <w:rPr>
          <w:rFonts w:cstheme="minorHAnsi"/>
          <w:b/>
          <w:sz w:val="20"/>
          <w:szCs w:val="20"/>
        </w:rPr>
        <w:t>Vivarium staff</w:t>
      </w:r>
      <w:r w:rsidRPr="00490DC4">
        <w:rPr>
          <w:rFonts w:cstheme="minorHAnsi"/>
          <w:b/>
          <w:sz w:val="20"/>
          <w:szCs w:val="20"/>
        </w:rPr>
        <w:t>.</w:t>
      </w:r>
    </w:p>
    <w:p w14:paraId="3878E843" w14:textId="77777777" w:rsidR="0040248B" w:rsidRPr="00F87936" w:rsidRDefault="0040248B" w:rsidP="00F87936">
      <w:pPr>
        <w:spacing w:after="0"/>
        <w:ind w:left="1440"/>
        <w:rPr>
          <w:rFonts w:cstheme="minorHAnsi"/>
          <w:b/>
          <w:i/>
          <w:sz w:val="20"/>
          <w:szCs w:val="20"/>
        </w:rPr>
      </w:pPr>
      <w:r w:rsidRPr="00490DC4">
        <w:rPr>
          <w:rFonts w:cstheme="minorHAnsi"/>
          <w:b/>
          <w:i/>
          <w:sz w:val="20"/>
          <w:szCs w:val="20"/>
        </w:rPr>
        <w:t>“Institutions must ensure that all individuals responsible for administering CO2 euthanasia are appropriately qualified and monitored,</w:t>
      </w:r>
      <w:r w:rsidR="00F87936">
        <w:rPr>
          <w:rFonts w:cstheme="minorHAnsi"/>
          <w:b/>
          <w:i/>
          <w:sz w:val="20"/>
          <w:szCs w:val="20"/>
        </w:rPr>
        <w:t xml:space="preserve"> and that they adhere to IACUC </w:t>
      </w:r>
      <w:r w:rsidRPr="00490DC4">
        <w:rPr>
          <w:rFonts w:cstheme="minorHAnsi"/>
          <w:b/>
          <w:i/>
          <w:sz w:val="20"/>
          <w:szCs w:val="20"/>
        </w:rPr>
        <w:t>approved protocols and institutional policies.”</w:t>
      </w:r>
      <w:r w:rsidRPr="00490DC4">
        <w:rPr>
          <w:rFonts w:cstheme="minorHAnsi"/>
          <w:b/>
          <w:sz w:val="20"/>
          <w:szCs w:val="20"/>
        </w:rPr>
        <w:t xml:space="preserve"> (</w:t>
      </w:r>
      <w:hyperlink r:id="rId10" w:history="1">
        <w:r w:rsidRPr="005D3739">
          <w:rPr>
            <w:rStyle w:val="Hyperlink"/>
            <w:rFonts w:cstheme="minorHAnsi"/>
            <w:b/>
            <w:sz w:val="20"/>
            <w:szCs w:val="20"/>
          </w:rPr>
          <w:t>PHS</w:t>
        </w:r>
      </w:hyperlink>
      <w:r w:rsidRPr="00490DC4">
        <w:rPr>
          <w:rFonts w:cstheme="minorHAnsi"/>
          <w:b/>
          <w:sz w:val="20"/>
          <w:szCs w:val="20"/>
        </w:rPr>
        <w:t>)</w:t>
      </w:r>
    </w:p>
    <w:p w14:paraId="117333D3" w14:textId="77777777" w:rsidR="00490DC4" w:rsidRDefault="0040248B" w:rsidP="008A0827">
      <w:pPr>
        <w:spacing w:after="0"/>
        <w:ind w:left="720"/>
        <w:rPr>
          <w:rFonts w:cstheme="minorHAnsi"/>
          <w:b/>
          <w:sz w:val="20"/>
          <w:szCs w:val="20"/>
        </w:rPr>
      </w:pPr>
      <w:r w:rsidRPr="00490DC4">
        <w:rPr>
          <w:rFonts w:cstheme="minorHAnsi"/>
          <w:b/>
          <w:sz w:val="20"/>
          <w:szCs w:val="20"/>
        </w:rPr>
        <w:t>2. Compressed gas is the only acceptable source of CO2 for euthanizing rodents.  Dry ice, fire</w:t>
      </w:r>
      <w:r w:rsidR="008A0827">
        <w:rPr>
          <w:rFonts w:cstheme="minorHAnsi"/>
          <w:b/>
          <w:sz w:val="20"/>
          <w:szCs w:val="20"/>
        </w:rPr>
        <w:t xml:space="preserve"> </w:t>
      </w:r>
      <w:r w:rsidRPr="00490DC4">
        <w:rPr>
          <w:rFonts w:cstheme="minorHAnsi"/>
          <w:b/>
          <w:sz w:val="20"/>
          <w:szCs w:val="20"/>
        </w:rPr>
        <w:t>extinguishers and other sources of CO2may not be used.</w:t>
      </w:r>
    </w:p>
    <w:p w14:paraId="0B97E532" w14:textId="77777777" w:rsidR="0040248B" w:rsidRPr="00F87936" w:rsidRDefault="0040248B" w:rsidP="00F87936">
      <w:pPr>
        <w:spacing w:after="0"/>
        <w:ind w:left="1440"/>
        <w:rPr>
          <w:rFonts w:cstheme="minorHAnsi"/>
          <w:b/>
          <w:i/>
          <w:sz w:val="20"/>
          <w:szCs w:val="20"/>
        </w:rPr>
      </w:pPr>
      <w:r w:rsidRPr="00490DC4">
        <w:rPr>
          <w:rFonts w:cstheme="minorHAnsi"/>
          <w:b/>
          <w:i/>
          <w:sz w:val="20"/>
          <w:szCs w:val="20"/>
        </w:rPr>
        <w:t>“[Compressed CO2 in cylinders is the only…recommended source of CO2 for euthanasia</w:t>
      </w:r>
      <w:r w:rsidR="00F87936">
        <w:rPr>
          <w:rFonts w:cstheme="minorHAnsi"/>
          <w:b/>
          <w:i/>
          <w:sz w:val="20"/>
          <w:szCs w:val="20"/>
        </w:rPr>
        <w:t xml:space="preserve"> </w:t>
      </w:r>
      <w:r w:rsidRPr="00490DC4">
        <w:rPr>
          <w:rFonts w:cstheme="minorHAnsi"/>
          <w:b/>
          <w:i/>
          <w:sz w:val="20"/>
          <w:szCs w:val="20"/>
        </w:rPr>
        <w:t>purposes.]”</w:t>
      </w:r>
      <w:r w:rsidRPr="00490DC4">
        <w:rPr>
          <w:rFonts w:cstheme="minorHAnsi"/>
          <w:b/>
          <w:sz w:val="20"/>
          <w:szCs w:val="20"/>
        </w:rPr>
        <w:t xml:space="preserve"> (</w:t>
      </w:r>
      <w:hyperlink r:id="rId11" w:history="1">
        <w:r w:rsidRPr="005D3739">
          <w:rPr>
            <w:rStyle w:val="Hyperlink"/>
            <w:rFonts w:cstheme="minorHAnsi"/>
            <w:b/>
            <w:sz w:val="20"/>
            <w:szCs w:val="20"/>
          </w:rPr>
          <w:t>PHS</w:t>
        </w:r>
      </w:hyperlink>
      <w:r w:rsidRPr="00490DC4">
        <w:rPr>
          <w:rFonts w:cstheme="minorHAnsi"/>
          <w:b/>
          <w:sz w:val="20"/>
          <w:szCs w:val="20"/>
        </w:rPr>
        <w:t>) (</w:t>
      </w:r>
      <w:hyperlink r:id="rId12" w:history="1">
        <w:r w:rsidRPr="005E76E7">
          <w:rPr>
            <w:rStyle w:val="Hyperlink"/>
            <w:rFonts w:cstheme="minorHAnsi"/>
            <w:b/>
            <w:sz w:val="20"/>
            <w:szCs w:val="20"/>
          </w:rPr>
          <w:t>AVMA</w:t>
        </w:r>
      </w:hyperlink>
      <w:r w:rsidRPr="00490DC4">
        <w:rPr>
          <w:rFonts w:cstheme="minorHAnsi"/>
          <w:b/>
          <w:sz w:val="20"/>
          <w:szCs w:val="20"/>
        </w:rPr>
        <w:t>) (</w:t>
      </w:r>
      <w:hyperlink r:id="rId13" w:history="1">
        <w:r w:rsidRPr="005E76E7">
          <w:rPr>
            <w:rStyle w:val="Hyperlink"/>
            <w:rFonts w:cstheme="minorHAnsi"/>
            <w:b/>
            <w:sz w:val="20"/>
            <w:szCs w:val="20"/>
          </w:rPr>
          <w:t>OLAW</w:t>
        </w:r>
      </w:hyperlink>
      <w:r w:rsidRPr="00490DC4">
        <w:rPr>
          <w:rFonts w:cstheme="minorHAnsi"/>
          <w:b/>
          <w:sz w:val="20"/>
          <w:szCs w:val="20"/>
        </w:rPr>
        <w:t>)</w:t>
      </w:r>
    </w:p>
    <w:p w14:paraId="5D4063D6" w14:textId="77777777" w:rsidR="0040248B" w:rsidRPr="00490DC4" w:rsidRDefault="0040248B" w:rsidP="008A0827">
      <w:pPr>
        <w:spacing w:after="0"/>
        <w:ind w:left="720"/>
        <w:rPr>
          <w:rFonts w:cstheme="minorHAnsi"/>
          <w:b/>
          <w:sz w:val="20"/>
          <w:szCs w:val="20"/>
        </w:rPr>
      </w:pPr>
      <w:r w:rsidRPr="00490DC4">
        <w:rPr>
          <w:rFonts w:cstheme="minorHAnsi"/>
          <w:b/>
          <w:sz w:val="20"/>
          <w:szCs w:val="20"/>
        </w:rPr>
        <w:t>3. Euthanasia chambers should be constructed of clear material (e.g. Plexiglas) and must be kept</w:t>
      </w:r>
      <w:r w:rsidR="008A0827">
        <w:rPr>
          <w:rFonts w:cstheme="minorHAnsi"/>
          <w:b/>
          <w:sz w:val="20"/>
          <w:szCs w:val="20"/>
        </w:rPr>
        <w:t xml:space="preserve"> </w:t>
      </w:r>
      <w:r w:rsidRPr="00490DC4">
        <w:rPr>
          <w:rFonts w:cstheme="minorHAnsi"/>
          <w:b/>
          <w:sz w:val="20"/>
          <w:szCs w:val="20"/>
        </w:rPr>
        <w:t>clean to minimize odors that might distress animals subseque</w:t>
      </w:r>
      <w:r w:rsidR="008A0827">
        <w:rPr>
          <w:rFonts w:cstheme="minorHAnsi"/>
          <w:b/>
          <w:sz w:val="20"/>
          <w:szCs w:val="20"/>
        </w:rPr>
        <w:t xml:space="preserve">ntly euthanized.  Gas should be </w:t>
      </w:r>
      <w:r w:rsidRPr="00490DC4">
        <w:rPr>
          <w:rFonts w:cstheme="minorHAnsi"/>
          <w:b/>
          <w:sz w:val="20"/>
          <w:szCs w:val="20"/>
        </w:rPr>
        <w:t>delivered in a predictable and controllable fashion, at a low‐flow rate.</w:t>
      </w:r>
    </w:p>
    <w:p w14:paraId="0A42FD2F" w14:textId="77777777" w:rsidR="0040248B" w:rsidRPr="00F87936" w:rsidRDefault="0040248B" w:rsidP="00F87936">
      <w:pPr>
        <w:spacing w:after="0"/>
        <w:ind w:left="1440"/>
        <w:rPr>
          <w:rFonts w:cstheme="minorHAnsi"/>
          <w:b/>
          <w:i/>
          <w:sz w:val="20"/>
          <w:szCs w:val="20"/>
        </w:rPr>
      </w:pPr>
      <w:r w:rsidRPr="00462C2A">
        <w:rPr>
          <w:rFonts w:cstheme="minorHAnsi"/>
          <w:b/>
          <w:i/>
          <w:sz w:val="20"/>
          <w:szCs w:val="20"/>
        </w:rPr>
        <w:t>“The euthanasia chamber should allow ready visibility of the animals. Do not overcrowd the</w:t>
      </w:r>
      <w:r w:rsidR="00F87936">
        <w:rPr>
          <w:rFonts w:cstheme="minorHAnsi"/>
          <w:b/>
          <w:i/>
          <w:sz w:val="20"/>
          <w:szCs w:val="20"/>
        </w:rPr>
        <w:t xml:space="preserve"> </w:t>
      </w:r>
      <w:r w:rsidRPr="00462C2A">
        <w:rPr>
          <w:rFonts w:cstheme="minorHAnsi"/>
          <w:b/>
          <w:i/>
          <w:sz w:val="20"/>
          <w:szCs w:val="20"/>
        </w:rPr>
        <w:t>chamber: all animals in the chamber must be able to make normal postural adjustments.”</w:t>
      </w:r>
      <w:r w:rsidRPr="00490DC4">
        <w:rPr>
          <w:rFonts w:cstheme="minorHAnsi"/>
          <w:b/>
          <w:sz w:val="20"/>
          <w:szCs w:val="20"/>
        </w:rPr>
        <w:t xml:space="preserve"> (</w:t>
      </w:r>
      <w:hyperlink r:id="rId14" w:history="1">
        <w:r w:rsidRPr="005D3739">
          <w:rPr>
            <w:rStyle w:val="Hyperlink"/>
            <w:rFonts w:cstheme="minorHAnsi"/>
            <w:b/>
            <w:sz w:val="20"/>
            <w:szCs w:val="20"/>
          </w:rPr>
          <w:t>NIH</w:t>
        </w:r>
      </w:hyperlink>
      <w:r w:rsidRPr="00490DC4">
        <w:rPr>
          <w:rFonts w:cstheme="minorHAnsi"/>
          <w:b/>
          <w:sz w:val="20"/>
          <w:szCs w:val="20"/>
        </w:rPr>
        <w:t>)</w:t>
      </w:r>
    </w:p>
    <w:p w14:paraId="46F7B1E4" w14:textId="77777777" w:rsidR="0040248B" w:rsidRPr="00490DC4" w:rsidRDefault="0040248B" w:rsidP="00490DC4">
      <w:pPr>
        <w:spacing w:after="0"/>
        <w:ind w:left="720"/>
        <w:rPr>
          <w:rFonts w:cstheme="minorHAnsi"/>
          <w:b/>
          <w:sz w:val="20"/>
          <w:szCs w:val="20"/>
        </w:rPr>
      </w:pPr>
      <w:r w:rsidRPr="00490DC4">
        <w:rPr>
          <w:rFonts w:cstheme="minorHAnsi"/>
          <w:b/>
          <w:sz w:val="20"/>
          <w:szCs w:val="20"/>
        </w:rPr>
        <w:t>4. Euthanasia should occur in a procedure room or laboratory, away from other rodent housing.</w:t>
      </w:r>
    </w:p>
    <w:p w14:paraId="27704C0D" w14:textId="77777777" w:rsidR="0040248B" w:rsidRPr="00490DC4" w:rsidRDefault="0040248B" w:rsidP="00462C2A">
      <w:pPr>
        <w:spacing w:after="0"/>
        <w:ind w:left="720" w:firstLine="720"/>
        <w:rPr>
          <w:rFonts w:cstheme="minorHAnsi"/>
          <w:b/>
          <w:sz w:val="20"/>
          <w:szCs w:val="20"/>
        </w:rPr>
      </w:pPr>
      <w:r w:rsidRPr="00462C2A">
        <w:rPr>
          <w:rFonts w:cstheme="minorHAnsi"/>
          <w:b/>
          <w:i/>
          <w:sz w:val="20"/>
          <w:szCs w:val="20"/>
        </w:rPr>
        <w:t>“Euthanasia should not be performed in the animal room.”</w:t>
      </w:r>
      <w:r w:rsidRPr="00490DC4">
        <w:rPr>
          <w:rFonts w:cstheme="minorHAnsi"/>
          <w:b/>
          <w:sz w:val="20"/>
          <w:szCs w:val="20"/>
        </w:rPr>
        <w:t xml:space="preserve"> (</w:t>
      </w:r>
      <w:hyperlink r:id="rId15" w:history="1">
        <w:r w:rsidRPr="005D3739">
          <w:rPr>
            <w:rStyle w:val="Hyperlink"/>
            <w:rFonts w:cstheme="minorHAnsi"/>
            <w:b/>
            <w:sz w:val="20"/>
            <w:szCs w:val="20"/>
          </w:rPr>
          <w:t>NIH</w:t>
        </w:r>
      </w:hyperlink>
      <w:r w:rsidRPr="00490DC4">
        <w:rPr>
          <w:rFonts w:cstheme="minorHAnsi"/>
          <w:b/>
          <w:sz w:val="20"/>
          <w:szCs w:val="20"/>
        </w:rPr>
        <w:t>)</w:t>
      </w:r>
    </w:p>
    <w:p w14:paraId="1A22487F" w14:textId="77777777" w:rsidR="0040248B" w:rsidRPr="00462C2A" w:rsidRDefault="0040248B" w:rsidP="00F87936">
      <w:pPr>
        <w:spacing w:after="0"/>
        <w:ind w:left="720"/>
        <w:rPr>
          <w:rFonts w:cstheme="minorHAnsi"/>
          <w:b/>
          <w:sz w:val="20"/>
          <w:szCs w:val="20"/>
          <w:u w:val="single"/>
        </w:rPr>
      </w:pPr>
      <w:r w:rsidRPr="00490DC4">
        <w:rPr>
          <w:rFonts w:cstheme="minorHAnsi"/>
          <w:b/>
          <w:sz w:val="20"/>
          <w:szCs w:val="20"/>
        </w:rPr>
        <w:t>5. When possible, rodents should be euthanized in their home cages.  </w:t>
      </w:r>
    </w:p>
    <w:p w14:paraId="3043E556" w14:textId="77777777" w:rsidR="00AD1AAD" w:rsidRPr="00AD1AAD" w:rsidRDefault="00AD1AAD" w:rsidP="00AD1AAD">
      <w:pPr>
        <w:spacing w:after="0"/>
        <w:ind w:left="1440"/>
        <w:rPr>
          <w:rFonts w:cstheme="minorHAnsi"/>
          <w:b/>
          <w:i/>
          <w:sz w:val="20"/>
          <w:szCs w:val="20"/>
        </w:rPr>
      </w:pPr>
      <w:r w:rsidRPr="00AD1AAD">
        <w:rPr>
          <w:rFonts w:cstheme="minorHAnsi"/>
          <w:b/>
          <w:i/>
          <w:sz w:val="20"/>
          <w:szCs w:val="20"/>
        </w:rPr>
        <w:t xml:space="preserve">The accepted and common practice is to group animals for euthanasia.  The common process of </w:t>
      </w:r>
    </w:p>
    <w:p w14:paraId="37C1ECBC" w14:textId="77777777" w:rsidR="00AD1AAD" w:rsidRPr="00AD1AAD" w:rsidRDefault="00AD1AAD" w:rsidP="00AD1AAD">
      <w:pPr>
        <w:spacing w:after="0"/>
        <w:ind w:left="1440"/>
        <w:rPr>
          <w:rFonts w:cstheme="minorHAnsi"/>
          <w:b/>
          <w:i/>
          <w:sz w:val="20"/>
          <w:szCs w:val="20"/>
        </w:rPr>
      </w:pPr>
      <w:r w:rsidRPr="00AD1AAD">
        <w:rPr>
          <w:rFonts w:cstheme="minorHAnsi"/>
          <w:b/>
          <w:i/>
          <w:sz w:val="20"/>
          <w:szCs w:val="20"/>
        </w:rPr>
        <w:t xml:space="preserve">grouping animals immediately prior to euthanasia should provide each individual animal with the </w:t>
      </w:r>
    </w:p>
    <w:p w14:paraId="25A3AFA1" w14:textId="77777777" w:rsidR="00AD1AAD" w:rsidRPr="00AD1AAD" w:rsidRDefault="00AD1AAD" w:rsidP="00AD1AAD">
      <w:pPr>
        <w:spacing w:after="0"/>
        <w:ind w:left="1440"/>
        <w:rPr>
          <w:rFonts w:cstheme="minorHAnsi"/>
          <w:b/>
          <w:i/>
          <w:sz w:val="20"/>
          <w:szCs w:val="20"/>
        </w:rPr>
      </w:pPr>
      <w:r w:rsidRPr="00AD1AAD">
        <w:rPr>
          <w:rFonts w:cstheme="minorHAnsi"/>
          <w:b/>
          <w:i/>
          <w:sz w:val="20"/>
          <w:szCs w:val="20"/>
        </w:rPr>
        <w:t xml:space="preserve">ability to make normal postural adjustments. Alternatively, animals should be euthanized in their </w:t>
      </w:r>
    </w:p>
    <w:p w14:paraId="13958A55" w14:textId="77777777" w:rsidR="0040248B" w:rsidRPr="00F87936" w:rsidRDefault="00AD1AAD" w:rsidP="00AD1AAD">
      <w:pPr>
        <w:spacing w:after="0"/>
        <w:ind w:left="1440"/>
        <w:rPr>
          <w:rFonts w:cstheme="minorHAnsi"/>
          <w:b/>
          <w:i/>
          <w:sz w:val="20"/>
          <w:szCs w:val="20"/>
        </w:rPr>
      </w:pPr>
      <w:r w:rsidRPr="00AD1AAD">
        <w:rPr>
          <w:rFonts w:cstheme="minorHAnsi"/>
          <w:b/>
          <w:i/>
          <w:sz w:val="20"/>
          <w:szCs w:val="20"/>
        </w:rPr>
        <w:lastRenderedPageBreak/>
        <w:t xml:space="preserve">home cage whenever possible. </w:t>
      </w:r>
      <w:r w:rsidR="0040248B" w:rsidRPr="00490DC4">
        <w:rPr>
          <w:rFonts w:cstheme="minorHAnsi"/>
          <w:b/>
          <w:sz w:val="20"/>
          <w:szCs w:val="20"/>
        </w:rPr>
        <w:t>(</w:t>
      </w:r>
      <w:hyperlink r:id="rId16" w:history="1">
        <w:r w:rsidRPr="005D3739">
          <w:rPr>
            <w:rStyle w:val="Hyperlink"/>
            <w:rFonts w:cstheme="minorHAnsi"/>
            <w:b/>
            <w:sz w:val="20"/>
            <w:szCs w:val="20"/>
          </w:rPr>
          <w:t>NIH</w:t>
        </w:r>
      </w:hyperlink>
      <w:r w:rsidR="0040248B" w:rsidRPr="00490DC4">
        <w:rPr>
          <w:rFonts w:cstheme="minorHAnsi"/>
          <w:b/>
          <w:sz w:val="20"/>
          <w:szCs w:val="20"/>
        </w:rPr>
        <w:t>)</w:t>
      </w:r>
    </w:p>
    <w:p w14:paraId="6AE8A65C" w14:textId="77777777" w:rsidR="0040248B" w:rsidRPr="00490DC4" w:rsidRDefault="0040248B" w:rsidP="00F87936">
      <w:pPr>
        <w:spacing w:after="0"/>
        <w:ind w:left="720"/>
        <w:rPr>
          <w:rFonts w:cstheme="minorHAnsi"/>
          <w:b/>
          <w:sz w:val="20"/>
          <w:szCs w:val="20"/>
        </w:rPr>
      </w:pPr>
      <w:r w:rsidRPr="00490DC4">
        <w:rPr>
          <w:rFonts w:cstheme="minorHAnsi"/>
          <w:b/>
          <w:sz w:val="20"/>
          <w:szCs w:val="20"/>
        </w:rPr>
        <w:t>6. Do not “pre‐fill” the euthanasia chamber with CO2.  Start wit</w:t>
      </w:r>
      <w:r w:rsidR="00F87936">
        <w:rPr>
          <w:rFonts w:cstheme="minorHAnsi"/>
          <w:b/>
          <w:sz w:val="20"/>
          <w:szCs w:val="20"/>
        </w:rPr>
        <w:t xml:space="preserve">h room air then slowly fill the </w:t>
      </w:r>
      <w:r w:rsidRPr="00490DC4">
        <w:rPr>
          <w:rFonts w:cstheme="minorHAnsi"/>
          <w:b/>
          <w:sz w:val="20"/>
          <w:szCs w:val="20"/>
        </w:rPr>
        <w:t>chamber with CO2 over several minutes (</w:t>
      </w:r>
      <w:hyperlink r:id="rId17" w:history="1">
        <w:r w:rsidRPr="005E76E7">
          <w:rPr>
            <w:rStyle w:val="Hyperlink"/>
            <w:rFonts w:cstheme="minorHAnsi"/>
            <w:b/>
            <w:sz w:val="20"/>
            <w:szCs w:val="20"/>
          </w:rPr>
          <w:t>OLAW</w:t>
        </w:r>
      </w:hyperlink>
      <w:r w:rsidRPr="00490DC4">
        <w:rPr>
          <w:rFonts w:cstheme="minorHAnsi"/>
          <w:b/>
          <w:sz w:val="20"/>
          <w:szCs w:val="20"/>
        </w:rPr>
        <w:t>).  CO2 is heavier than room air, thus t</w:t>
      </w:r>
      <w:r w:rsidR="00F87936">
        <w:rPr>
          <w:rFonts w:cstheme="minorHAnsi"/>
          <w:b/>
          <w:sz w:val="20"/>
          <w:szCs w:val="20"/>
        </w:rPr>
        <w:t xml:space="preserve">he chamber </w:t>
      </w:r>
      <w:r w:rsidRPr="00490DC4">
        <w:rPr>
          <w:rFonts w:cstheme="minorHAnsi"/>
          <w:b/>
          <w:sz w:val="20"/>
          <w:szCs w:val="20"/>
        </w:rPr>
        <w:t>may need to be “purged” between groups of cages.</w:t>
      </w:r>
    </w:p>
    <w:p w14:paraId="7A42FC32" w14:textId="77777777" w:rsidR="0040248B" w:rsidRPr="00F87936" w:rsidRDefault="0040248B" w:rsidP="00F87936">
      <w:pPr>
        <w:spacing w:after="0"/>
        <w:ind w:left="1440"/>
        <w:rPr>
          <w:rFonts w:cstheme="minorHAnsi"/>
          <w:b/>
          <w:i/>
          <w:sz w:val="20"/>
          <w:szCs w:val="20"/>
        </w:rPr>
      </w:pPr>
      <w:r w:rsidRPr="00462C2A">
        <w:rPr>
          <w:rFonts w:cstheme="minorHAnsi"/>
          <w:b/>
          <w:i/>
          <w:sz w:val="20"/>
          <w:szCs w:val="20"/>
        </w:rPr>
        <w:t>“Because inspiration of high concentrations of CO2 is both aversive and painful, a</w:t>
      </w:r>
      <w:r w:rsidR="00F87936">
        <w:rPr>
          <w:rFonts w:cstheme="minorHAnsi"/>
          <w:b/>
          <w:i/>
          <w:sz w:val="20"/>
          <w:szCs w:val="20"/>
        </w:rPr>
        <w:t xml:space="preserve"> </w:t>
      </w:r>
      <w:r w:rsidRPr="00462C2A">
        <w:rPr>
          <w:rFonts w:cstheme="minorHAnsi"/>
          <w:b/>
          <w:i/>
          <w:sz w:val="20"/>
          <w:szCs w:val="20"/>
        </w:rPr>
        <w:t>recommended procedure is to place animals into a cha</w:t>
      </w:r>
      <w:r w:rsidR="00F87936">
        <w:rPr>
          <w:rFonts w:cstheme="minorHAnsi"/>
          <w:b/>
          <w:i/>
          <w:sz w:val="20"/>
          <w:szCs w:val="20"/>
        </w:rPr>
        <w:t xml:space="preserve">mber that contains room air and </w:t>
      </w:r>
      <w:r w:rsidRPr="00462C2A">
        <w:rPr>
          <w:rFonts w:cstheme="minorHAnsi"/>
          <w:b/>
          <w:i/>
          <w:sz w:val="20"/>
          <w:szCs w:val="20"/>
        </w:rPr>
        <w:t>then to gradually introduce CO2.”</w:t>
      </w:r>
      <w:r w:rsidRPr="00490DC4">
        <w:rPr>
          <w:rFonts w:cstheme="minorHAnsi"/>
          <w:b/>
          <w:sz w:val="20"/>
          <w:szCs w:val="20"/>
        </w:rPr>
        <w:t xml:space="preserve"> (</w:t>
      </w:r>
      <w:hyperlink r:id="rId18" w:history="1">
        <w:r w:rsidRPr="002D5B5C">
          <w:rPr>
            <w:rStyle w:val="Hyperlink"/>
            <w:rFonts w:cstheme="minorHAnsi"/>
            <w:b/>
            <w:sz w:val="20"/>
            <w:szCs w:val="20"/>
          </w:rPr>
          <w:t>ACLAM</w:t>
        </w:r>
      </w:hyperlink>
      <w:r w:rsidRPr="00490DC4">
        <w:rPr>
          <w:rFonts w:cstheme="minorHAnsi"/>
          <w:b/>
          <w:sz w:val="20"/>
          <w:szCs w:val="20"/>
        </w:rPr>
        <w:t>)</w:t>
      </w:r>
    </w:p>
    <w:p w14:paraId="76D21634" w14:textId="77777777" w:rsidR="0040248B" w:rsidRPr="00490DC4" w:rsidRDefault="0040248B" w:rsidP="00F87936">
      <w:pPr>
        <w:spacing w:after="0"/>
        <w:ind w:left="720"/>
        <w:rPr>
          <w:rFonts w:cstheme="minorHAnsi"/>
          <w:b/>
          <w:sz w:val="20"/>
          <w:szCs w:val="20"/>
        </w:rPr>
      </w:pPr>
      <w:r w:rsidRPr="00490DC4">
        <w:rPr>
          <w:rFonts w:cstheme="minorHAnsi"/>
          <w:b/>
          <w:sz w:val="20"/>
          <w:szCs w:val="20"/>
        </w:rPr>
        <w:t>7. CO2 first renders the animal anesthetized and then, with adequat</w:t>
      </w:r>
      <w:r w:rsidR="00F87936">
        <w:rPr>
          <w:rFonts w:cstheme="minorHAnsi"/>
          <w:b/>
          <w:sz w:val="20"/>
          <w:szCs w:val="20"/>
        </w:rPr>
        <w:t xml:space="preserve">e exposure time, will result in </w:t>
      </w:r>
      <w:r w:rsidRPr="00490DC4">
        <w:rPr>
          <w:rFonts w:cstheme="minorHAnsi"/>
          <w:b/>
          <w:sz w:val="20"/>
          <w:szCs w:val="20"/>
        </w:rPr>
        <w:t>death by CO2 narcosis.  Animals should be left for additi</w:t>
      </w:r>
      <w:r w:rsidR="00F87936">
        <w:rPr>
          <w:rFonts w:cstheme="minorHAnsi"/>
          <w:b/>
          <w:sz w:val="20"/>
          <w:szCs w:val="20"/>
        </w:rPr>
        <w:t xml:space="preserve">onal time within the euthanasia </w:t>
      </w:r>
      <w:r w:rsidRPr="00490DC4">
        <w:rPr>
          <w:rFonts w:cstheme="minorHAnsi"/>
          <w:b/>
          <w:sz w:val="20"/>
          <w:szCs w:val="20"/>
        </w:rPr>
        <w:t>chamber, after spontaneous movements have ceased, with CO2 continuing to flow.  </w:t>
      </w:r>
    </w:p>
    <w:p w14:paraId="74AAB575" w14:textId="77777777" w:rsidR="0040248B" w:rsidRDefault="0040248B" w:rsidP="00451C3D">
      <w:pPr>
        <w:spacing w:after="0"/>
        <w:ind w:left="720" w:firstLine="720"/>
        <w:rPr>
          <w:rFonts w:cstheme="minorHAnsi"/>
          <w:b/>
          <w:sz w:val="20"/>
          <w:szCs w:val="20"/>
        </w:rPr>
      </w:pPr>
      <w:r w:rsidRPr="00451C3D">
        <w:rPr>
          <w:rFonts w:cstheme="minorHAnsi"/>
          <w:b/>
          <w:i/>
          <w:sz w:val="20"/>
          <w:szCs w:val="20"/>
        </w:rPr>
        <w:t>“Animals should be left in the container until clinical death has been ensured.”</w:t>
      </w:r>
      <w:r w:rsidRPr="00490DC4">
        <w:rPr>
          <w:rFonts w:cstheme="minorHAnsi"/>
          <w:b/>
          <w:sz w:val="20"/>
          <w:szCs w:val="20"/>
        </w:rPr>
        <w:t xml:space="preserve"> (</w:t>
      </w:r>
      <w:hyperlink r:id="rId19" w:history="1">
        <w:r w:rsidRPr="005D3739">
          <w:rPr>
            <w:rStyle w:val="Hyperlink"/>
            <w:rFonts w:cstheme="minorHAnsi"/>
            <w:b/>
            <w:sz w:val="20"/>
            <w:szCs w:val="20"/>
          </w:rPr>
          <w:t>NIH</w:t>
        </w:r>
      </w:hyperlink>
      <w:r w:rsidRPr="00490DC4">
        <w:rPr>
          <w:rFonts w:cstheme="minorHAnsi"/>
          <w:b/>
          <w:sz w:val="20"/>
          <w:szCs w:val="20"/>
        </w:rPr>
        <w:t>)</w:t>
      </w:r>
    </w:p>
    <w:p w14:paraId="54005159" w14:textId="77777777" w:rsidR="00C908A5" w:rsidRDefault="00C908A5" w:rsidP="00C908A5">
      <w:pPr>
        <w:spacing w:after="0"/>
        <w:rPr>
          <w:rFonts w:cstheme="minorHAnsi"/>
          <w:b/>
          <w:sz w:val="20"/>
          <w:szCs w:val="20"/>
        </w:rPr>
      </w:pPr>
      <w:r>
        <w:rPr>
          <w:rFonts w:cstheme="minorHAnsi"/>
          <w:b/>
          <w:i/>
          <w:sz w:val="20"/>
          <w:szCs w:val="20"/>
        </w:rPr>
        <w:tab/>
      </w:r>
      <w:r>
        <w:rPr>
          <w:rFonts w:cstheme="minorHAnsi"/>
          <w:b/>
          <w:sz w:val="20"/>
          <w:szCs w:val="20"/>
        </w:rPr>
        <w:t>8</w:t>
      </w:r>
      <w:r w:rsidRPr="00C908A5">
        <w:rPr>
          <w:rFonts w:cstheme="minorHAnsi"/>
          <w:b/>
          <w:sz w:val="20"/>
          <w:szCs w:val="20"/>
        </w:rPr>
        <w:t>. Combining rats and mice into a single cage is prohibited.</w:t>
      </w:r>
    </w:p>
    <w:p w14:paraId="2B3DA950" w14:textId="77777777" w:rsidR="00C908A5" w:rsidRPr="00C908A5" w:rsidRDefault="00C908A5" w:rsidP="00C908A5">
      <w:pPr>
        <w:spacing w:after="0"/>
        <w:ind w:left="1440"/>
        <w:rPr>
          <w:rFonts w:cstheme="minorHAnsi"/>
          <w:b/>
          <w:sz w:val="20"/>
          <w:szCs w:val="20"/>
        </w:rPr>
      </w:pPr>
      <w:r>
        <w:rPr>
          <w:rFonts w:cstheme="minorHAnsi"/>
          <w:b/>
          <w:sz w:val="20"/>
          <w:szCs w:val="20"/>
        </w:rPr>
        <w:t>“</w:t>
      </w:r>
      <w:r>
        <w:rPr>
          <w:rFonts w:cstheme="minorHAnsi"/>
          <w:b/>
          <w:i/>
          <w:sz w:val="20"/>
          <w:szCs w:val="20"/>
        </w:rPr>
        <w:t xml:space="preserve">It is important to also consider that mixing unfamiliar or incompatible animals in the same container may be distressful.” </w:t>
      </w:r>
      <w:r>
        <w:rPr>
          <w:rFonts w:cstheme="minorHAnsi"/>
          <w:b/>
          <w:sz w:val="20"/>
          <w:szCs w:val="20"/>
        </w:rPr>
        <w:t>(</w:t>
      </w:r>
      <w:hyperlink r:id="rId20" w:history="1">
        <w:r w:rsidRPr="005D3739">
          <w:rPr>
            <w:rStyle w:val="Hyperlink"/>
            <w:rFonts w:cstheme="minorHAnsi"/>
            <w:b/>
            <w:sz w:val="20"/>
            <w:szCs w:val="20"/>
          </w:rPr>
          <w:t>PHS</w:t>
        </w:r>
      </w:hyperlink>
      <w:r>
        <w:rPr>
          <w:rFonts w:cstheme="minorHAnsi"/>
          <w:b/>
          <w:sz w:val="20"/>
          <w:szCs w:val="20"/>
        </w:rPr>
        <w:t>)</w:t>
      </w:r>
    </w:p>
    <w:p w14:paraId="77951DB4" w14:textId="77777777" w:rsidR="00451C3D" w:rsidRDefault="00451C3D" w:rsidP="00490DC4">
      <w:pPr>
        <w:spacing w:after="0"/>
        <w:ind w:left="720"/>
        <w:rPr>
          <w:rFonts w:cstheme="minorHAnsi"/>
          <w:b/>
          <w:sz w:val="20"/>
          <w:szCs w:val="20"/>
        </w:rPr>
      </w:pPr>
    </w:p>
    <w:p w14:paraId="2EA172B6" w14:textId="77777777" w:rsidR="00F87936" w:rsidRDefault="0040248B" w:rsidP="006562E3">
      <w:pPr>
        <w:spacing w:after="0"/>
        <w:ind w:left="720"/>
        <w:rPr>
          <w:rFonts w:cstheme="minorHAnsi"/>
          <w:b/>
          <w:sz w:val="20"/>
          <w:szCs w:val="20"/>
        </w:rPr>
      </w:pPr>
      <w:r w:rsidRPr="00490DC4">
        <w:rPr>
          <w:rFonts w:cstheme="minorHAnsi"/>
          <w:b/>
          <w:sz w:val="20"/>
          <w:szCs w:val="20"/>
        </w:rPr>
        <w:t>Resistance to hypoxia results in a prolonged time to unconsciousness w</w:t>
      </w:r>
      <w:r w:rsidR="00F87936">
        <w:rPr>
          <w:rFonts w:cstheme="minorHAnsi"/>
          <w:b/>
          <w:sz w:val="20"/>
          <w:szCs w:val="20"/>
        </w:rPr>
        <w:t xml:space="preserve">hen CO2 inhalation is used as a </w:t>
      </w:r>
      <w:r w:rsidRPr="00490DC4">
        <w:rPr>
          <w:rFonts w:cstheme="minorHAnsi"/>
          <w:b/>
          <w:sz w:val="20"/>
          <w:szCs w:val="20"/>
        </w:rPr>
        <w:t>euthanasia agent in neonatal rodents.  The duration of exposure to carbon</w:t>
      </w:r>
      <w:r w:rsidR="00F87936">
        <w:rPr>
          <w:rFonts w:cstheme="minorHAnsi"/>
          <w:b/>
          <w:sz w:val="20"/>
          <w:szCs w:val="20"/>
        </w:rPr>
        <w:t xml:space="preserve"> dioxide varies with the age of </w:t>
      </w:r>
      <w:r w:rsidRPr="00490DC4">
        <w:rPr>
          <w:rFonts w:cstheme="minorHAnsi"/>
          <w:b/>
          <w:sz w:val="20"/>
          <w:szCs w:val="20"/>
        </w:rPr>
        <w:t>the neonate compared with adult rodents.</w:t>
      </w:r>
    </w:p>
    <w:p w14:paraId="02BA6E63" w14:textId="77777777" w:rsidR="006562E3" w:rsidRDefault="006562E3" w:rsidP="0040248B">
      <w:pPr>
        <w:spacing w:after="0"/>
        <w:rPr>
          <w:rFonts w:cstheme="minorHAnsi"/>
          <w:b/>
          <w:sz w:val="20"/>
          <w:szCs w:val="20"/>
        </w:rPr>
      </w:pPr>
    </w:p>
    <w:tbl>
      <w:tblPr>
        <w:tblW w:w="9990" w:type="dxa"/>
        <w:jc w:val="center"/>
        <w:tblLook w:val="04A0" w:firstRow="1" w:lastRow="0" w:firstColumn="1" w:lastColumn="0" w:noHBand="0" w:noVBand="1"/>
      </w:tblPr>
      <w:tblGrid>
        <w:gridCol w:w="4320"/>
        <w:gridCol w:w="2440"/>
        <w:gridCol w:w="3230"/>
      </w:tblGrid>
      <w:tr w:rsidR="006562E3" w:rsidRPr="006562E3" w14:paraId="157D633A" w14:textId="77777777" w:rsidTr="0033517E">
        <w:trPr>
          <w:trHeight w:val="300"/>
          <w:tblHeader/>
          <w:jc w:val="center"/>
        </w:trPr>
        <w:tc>
          <w:tcPr>
            <w:tcW w:w="4320" w:type="dxa"/>
            <w:tcBorders>
              <w:top w:val="single" w:sz="8" w:space="0" w:color="auto"/>
              <w:left w:val="single" w:sz="8" w:space="0" w:color="auto"/>
              <w:bottom w:val="single" w:sz="8" w:space="0" w:color="auto"/>
              <w:right w:val="single" w:sz="8" w:space="0" w:color="auto"/>
            </w:tcBorders>
            <w:noWrap/>
            <w:vAlign w:val="center"/>
            <w:hideMark/>
          </w:tcPr>
          <w:p w14:paraId="45297D45"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AGE</w:t>
            </w:r>
          </w:p>
        </w:tc>
        <w:tc>
          <w:tcPr>
            <w:tcW w:w="2440" w:type="dxa"/>
            <w:tcBorders>
              <w:top w:val="single" w:sz="8" w:space="0" w:color="auto"/>
              <w:left w:val="nil"/>
              <w:bottom w:val="single" w:sz="8" w:space="0" w:color="auto"/>
              <w:right w:val="single" w:sz="8" w:space="0" w:color="auto"/>
            </w:tcBorders>
            <w:noWrap/>
            <w:vAlign w:val="center"/>
            <w:hideMark/>
          </w:tcPr>
          <w:p w14:paraId="63B78779"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Mice (Pritchett et al. 2005)</w:t>
            </w:r>
          </w:p>
        </w:tc>
        <w:tc>
          <w:tcPr>
            <w:tcW w:w="3230" w:type="dxa"/>
            <w:tcBorders>
              <w:top w:val="single" w:sz="8" w:space="0" w:color="auto"/>
              <w:left w:val="nil"/>
              <w:bottom w:val="single" w:sz="8" w:space="0" w:color="auto"/>
              <w:right w:val="single" w:sz="8" w:space="0" w:color="auto"/>
            </w:tcBorders>
            <w:noWrap/>
            <w:vAlign w:val="center"/>
            <w:hideMark/>
          </w:tcPr>
          <w:p w14:paraId="12D521C6"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Rats (Pritchett-Corning 2009)</w:t>
            </w:r>
          </w:p>
        </w:tc>
      </w:tr>
      <w:tr w:rsidR="006562E3" w:rsidRPr="006562E3" w14:paraId="78072641" w14:textId="77777777" w:rsidTr="006562E3">
        <w:trPr>
          <w:trHeight w:val="300"/>
          <w:jc w:val="center"/>
        </w:trPr>
        <w:tc>
          <w:tcPr>
            <w:tcW w:w="4320" w:type="dxa"/>
            <w:tcBorders>
              <w:top w:val="nil"/>
              <w:left w:val="single" w:sz="8" w:space="0" w:color="auto"/>
              <w:bottom w:val="single" w:sz="8" w:space="0" w:color="auto"/>
              <w:right w:val="single" w:sz="8" w:space="0" w:color="auto"/>
            </w:tcBorders>
            <w:noWrap/>
            <w:vAlign w:val="center"/>
            <w:hideMark/>
          </w:tcPr>
          <w:p w14:paraId="065467B0"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Non-haired pups: 0-6 days</w:t>
            </w:r>
          </w:p>
        </w:tc>
        <w:tc>
          <w:tcPr>
            <w:tcW w:w="2440" w:type="dxa"/>
            <w:tcBorders>
              <w:top w:val="nil"/>
              <w:left w:val="nil"/>
              <w:bottom w:val="single" w:sz="8" w:space="0" w:color="auto"/>
              <w:right w:val="single" w:sz="8" w:space="0" w:color="auto"/>
            </w:tcBorders>
            <w:noWrap/>
            <w:vAlign w:val="center"/>
            <w:hideMark/>
          </w:tcPr>
          <w:p w14:paraId="6F1A8694"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60 minutes</w:t>
            </w:r>
          </w:p>
        </w:tc>
        <w:tc>
          <w:tcPr>
            <w:tcW w:w="3230" w:type="dxa"/>
            <w:tcBorders>
              <w:top w:val="nil"/>
              <w:left w:val="nil"/>
              <w:bottom w:val="single" w:sz="8" w:space="0" w:color="auto"/>
              <w:right w:val="single" w:sz="8" w:space="0" w:color="auto"/>
            </w:tcBorders>
            <w:noWrap/>
            <w:vAlign w:val="center"/>
            <w:hideMark/>
          </w:tcPr>
          <w:p w14:paraId="67A9CC15"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40 minutes</w:t>
            </w:r>
          </w:p>
        </w:tc>
      </w:tr>
      <w:tr w:rsidR="006562E3" w:rsidRPr="006562E3" w14:paraId="1FA828CE" w14:textId="77777777" w:rsidTr="006562E3">
        <w:trPr>
          <w:trHeight w:val="300"/>
          <w:jc w:val="center"/>
        </w:trPr>
        <w:tc>
          <w:tcPr>
            <w:tcW w:w="4320" w:type="dxa"/>
            <w:tcBorders>
              <w:top w:val="nil"/>
              <w:left w:val="single" w:sz="8" w:space="0" w:color="auto"/>
              <w:bottom w:val="single" w:sz="8" w:space="0" w:color="auto"/>
              <w:right w:val="single" w:sz="8" w:space="0" w:color="auto"/>
            </w:tcBorders>
            <w:noWrap/>
            <w:vAlign w:val="center"/>
            <w:hideMark/>
          </w:tcPr>
          <w:p w14:paraId="455389A5"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Haired pups, eyes closed: 7-13 days</w:t>
            </w:r>
          </w:p>
        </w:tc>
        <w:tc>
          <w:tcPr>
            <w:tcW w:w="2440" w:type="dxa"/>
            <w:tcBorders>
              <w:top w:val="nil"/>
              <w:left w:val="nil"/>
              <w:bottom w:val="single" w:sz="8" w:space="0" w:color="auto"/>
              <w:right w:val="single" w:sz="8" w:space="0" w:color="auto"/>
            </w:tcBorders>
            <w:noWrap/>
            <w:vAlign w:val="center"/>
            <w:hideMark/>
          </w:tcPr>
          <w:p w14:paraId="30D44659"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20 minutes</w:t>
            </w:r>
          </w:p>
        </w:tc>
        <w:tc>
          <w:tcPr>
            <w:tcW w:w="3230" w:type="dxa"/>
            <w:tcBorders>
              <w:top w:val="nil"/>
              <w:left w:val="nil"/>
              <w:bottom w:val="single" w:sz="8" w:space="0" w:color="auto"/>
              <w:right w:val="single" w:sz="8" w:space="0" w:color="auto"/>
            </w:tcBorders>
            <w:noWrap/>
            <w:vAlign w:val="center"/>
            <w:hideMark/>
          </w:tcPr>
          <w:p w14:paraId="5A9BA224"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20 minutes</w:t>
            </w:r>
          </w:p>
        </w:tc>
      </w:tr>
      <w:tr w:rsidR="006562E3" w:rsidRPr="006562E3" w14:paraId="32A98DC8" w14:textId="77777777" w:rsidTr="006562E3">
        <w:trPr>
          <w:trHeight w:val="300"/>
          <w:jc w:val="center"/>
        </w:trPr>
        <w:tc>
          <w:tcPr>
            <w:tcW w:w="4320" w:type="dxa"/>
            <w:tcBorders>
              <w:top w:val="nil"/>
              <w:left w:val="single" w:sz="8" w:space="0" w:color="auto"/>
              <w:bottom w:val="single" w:sz="8" w:space="0" w:color="auto"/>
              <w:right w:val="single" w:sz="8" w:space="0" w:color="auto"/>
            </w:tcBorders>
            <w:noWrap/>
            <w:vAlign w:val="center"/>
            <w:hideMark/>
          </w:tcPr>
          <w:p w14:paraId="113225A1"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Haired pups, eyes open, preweaning: 14-20 days</w:t>
            </w:r>
          </w:p>
        </w:tc>
        <w:tc>
          <w:tcPr>
            <w:tcW w:w="2440" w:type="dxa"/>
            <w:tcBorders>
              <w:top w:val="nil"/>
              <w:left w:val="nil"/>
              <w:bottom w:val="single" w:sz="8" w:space="0" w:color="auto"/>
              <w:right w:val="single" w:sz="8" w:space="0" w:color="auto"/>
            </w:tcBorders>
            <w:noWrap/>
            <w:vAlign w:val="center"/>
            <w:hideMark/>
          </w:tcPr>
          <w:p w14:paraId="4BDA4D35"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10 minutes</w:t>
            </w:r>
          </w:p>
        </w:tc>
        <w:tc>
          <w:tcPr>
            <w:tcW w:w="3230" w:type="dxa"/>
            <w:tcBorders>
              <w:top w:val="nil"/>
              <w:left w:val="nil"/>
              <w:bottom w:val="single" w:sz="8" w:space="0" w:color="auto"/>
              <w:right w:val="single" w:sz="8" w:space="0" w:color="auto"/>
            </w:tcBorders>
            <w:noWrap/>
            <w:vAlign w:val="center"/>
            <w:hideMark/>
          </w:tcPr>
          <w:p w14:paraId="10D0BB2E"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10 minutes</w:t>
            </w:r>
          </w:p>
        </w:tc>
      </w:tr>
      <w:tr w:rsidR="006562E3" w:rsidRPr="006562E3" w14:paraId="776A055B" w14:textId="77777777" w:rsidTr="006562E3">
        <w:trPr>
          <w:trHeight w:val="300"/>
          <w:jc w:val="center"/>
        </w:trPr>
        <w:tc>
          <w:tcPr>
            <w:tcW w:w="4320" w:type="dxa"/>
            <w:tcBorders>
              <w:top w:val="nil"/>
              <w:left w:val="single" w:sz="8" w:space="0" w:color="auto"/>
              <w:bottom w:val="single" w:sz="8" w:space="0" w:color="auto"/>
              <w:right w:val="single" w:sz="8" w:space="0" w:color="auto"/>
            </w:tcBorders>
            <w:noWrap/>
            <w:vAlign w:val="center"/>
            <w:hideMark/>
          </w:tcPr>
          <w:p w14:paraId="2DB102BB"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Weanlings and adults: 21+ days</w:t>
            </w:r>
          </w:p>
        </w:tc>
        <w:tc>
          <w:tcPr>
            <w:tcW w:w="2440" w:type="dxa"/>
            <w:tcBorders>
              <w:top w:val="nil"/>
              <w:left w:val="nil"/>
              <w:bottom w:val="single" w:sz="8" w:space="0" w:color="auto"/>
              <w:right w:val="single" w:sz="8" w:space="0" w:color="auto"/>
            </w:tcBorders>
            <w:noWrap/>
            <w:vAlign w:val="center"/>
            <w:hideMark/>
          </w:tcPr>
          <w:p w14:paraId="7AC287F0"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5 minutes</w:t>
            </w:r>
          </w:p>
        </w:tc>
        <w:tc>
          <w:tcPr>
            <w:tcW w:w="3230" w:type="dxa"/>
            <w:tcBorders>
              <w:top w:val="nil"/>
              <w:left w:val="nil"/>
              <w:bottom w:val="single" w:sz="8" w:space="0" w:color="auto"/>
              <w:right w:val="single" w:sz="8" w:space="0" w:color="auto"/>
            </w:tcBorders>
            <w:noWrap/>
            <w:vAlign w:val="center"/>
            <w:hideMark/>
          </w:tcPr>
          <w:p w14:paraId="13E5F162" w14:textId="77777777" w:rsidR="006562E3" w:rsidRPr="006562E3" w:rsidRDefault="006562E3" w:rsidP="006562E3">
            <w:pPr>
              <w:spacing w:after="0" w:line="240" w:lineRule="auto"/>
              <w:jc w:val="center"/>
              <w:rPr>
                <w:rFonts w:ascii="Calibri" w:eastAsia="Times New Roman" w:hAnsi="Calibri" w:cs="Calibri"/>
                <w:b/>
                <w:bCs/>
                <w:color w:val="000000"/>
                <w:sz w:val="20"/>
                <w:szCs w:val="20"/>
              </w:rPr>
            </w:pPr>
            <w:r w:rsidRPr="006562E3">
              <w:rPr>
                <w:rFonts w:ascii="Calibri" w:eastAsia="Times New Roman" w:hAnsi="Calibri" w:cs="Calibri"/>
                <w:b/>
                <w:bCs/>
                <w:color w:val="000000"/>
                <w:sz w:val="20"/>
                <w:szCs w:val="20"/>
              </w:rPr>
              <w:t>5 minutes</w:t>
            </w:r>
          </w:p>
        </w:tc>
      </w:tr>
    </w:tbl>
    <w:p w14:paraId="395C5C36" w14:textId="77777777" w:rsidR="006562E3" w:rsidRDefault="006562E3" w:rsidP="0040248B">
      <w:pPr>
        <w:spacing w:after="0"/>
        <w:rPr>
          <w:rFonts w:cstheme="minorHAnsi"/>
          <w:b/>
          <w:sz w:val="20"/>
          <w:szCs w:val="20"/>
        </w:rPr>
      </w:pPr>
    </w:p>
    <w:p w14:paraId="274A4987" w14:textId="77777777" w:rsidR="0040248B" w:rsidRDefault="0040248B" w:rsidP="0040248B">
      <w:pPr>
        <w:spacing w:after="0"/>
        <w:rPr>
          <w:rFonts w:cstheme="minorHAnsi"/>
          <w:b/>
          <w:sz w:val="20"/>
          <w:szCs w:val="20"/>
        </w:rPr>
      </w:pPr>
      <w:r w:rsidRPr="00490DC4">
        <w:rPr>
          <w:rFonts w:cstheme="minorHAnsi"/>
          <w:b/>
          <w:sz w:val="20"/>
          <w:szCs w:val="20"/>
        </w:rPr>
        <w:t>Fetuses also require extended exposure to inhalant anesthetics, inclu</w:t>
      </w:r>
      <w:r w:rsidR="00F87936">
        <w:rPr>
          <w:rFonts w:cstheme="minorHAnsi"/>
          <w:b/>
          <w:sz w:val="20"/>
          <w:szCs w:val="20"/>
        </w:rPr>
        <w:t xml:space="preserve">ding CO2.  When fetuses are not </w:t>
      </w:r>
      <w:r w:rsidRPr="00490DC4">
        <w:rPr>
          <w:rFonts w:cstheme="minorHAnsi"/>
          <w:b/>
          <w:sz w:val="20"/>
          <w:szCs w:val="20"/>
        </w:rPr>
        <w:t>required for study, the method chosen for euthanasia of a pregnan</w:t>
      </w:r>
      <w:r w:rsidR="00F87936">
        <w:rPr>
          <w:rFonts w:cstheme="minorHAnsi"/>
          <w:b/>
          <w:sz w:val="20"/>
          <w:szCs w:val="20"/>
        </w:rPr>
        <w:t xml:space="preserve">t mother should ensure cerebral </w:t>
      </w:r>
      <w:r w:rsidRPr="00490DC4">
        <w:rPr>
          <w:rFonts w:cstheme="minorHAnsi"/>
          <w:b/>
          <w:sz w:val="20"/>
          <w:szCs w:val="20"/>
        </w:rPr>
        <w:t>anoxia to the fetus and minimally disturb the uterine milieu to minimi</w:t>
      </w:r>
      <w:r w:rsidR="00F87936">
        <w:rPr>
          <w:rFonts w:cstheme="minorHAnsi"/>
          <w:b/>
          <w:sz w:val="20"/>
          <w:szCs w:val="20"/>
        </w:rPr>
        <w:t xml:space="preserve">ze fetal arousal. A recommended </w:t>
      </w:r>
      <w:r w:rsidRPr="00490DC4">
        <w:rPr>
          <w:rFonts w:cstheme="minorHAnsi"/>
          <w:b/>
          <w:sz w:val="20"/>
          <w:szCs w:val="20"/>
        </w:rPr>
        <w:t>method for euthanasia of the mother is CO2 exposure followed by cervical dislocation (</w:t>
      </w:r>
      <w:hyperlink r:id="rId21" w:history="1">
        <w:r w:rsidRPr="005E76E7">
          <w:rPr>
            <w:rStyle w:val="Hyperlink"/>
            <w:rFonts w:cstheme="minorHAnsi"/>
            <w:b/>
            <w:sz w:val="20"/>
            <w:szCs w:val="20"/>
          </w:rPr>
          <w:t>ACLAM</w:t>
        </w:r>
      </w:hyperlink>
      <w:r w:rsidRPr="00490DC4">
        <w:rPr>
          <w:rFonts w:cstheme="minorHAnsi"/>
          <w:b/>
          <w:sz w:val="20"/>
          <w:szCs w:val="20"/>
        </w:rPr>
        <w:t>).</w:t>
      </w:r>
    </w:p>
    <w:p w14:paraId="67F38593" w14:textId="77777777" w:rsidR="00451C3D" w:rsidRPr="00490DC4" w:rsidRDefault="00451C3D" w:rsidP="0040248B">
      <w:pPr>
        <w:spacing w:after="0"/>
        <w:rPr>
          <w:rFonts w:cstheme="minorHAnsi"/>
          <w:b/>
          <w:sz w:val="20"/>
          <w:szCs w:val="20"/>
        </w:rPr>
      </w:pPr>
    </w:p>
    <w:p w14:paraId="045847D3" w14:textId="77777777" w:rsidR="0040248B" w:rsidRPr="00490DC4" w:rsidRDefault="0040248B" w:rsidP="0040248B">
      <w:pPr>
        <w:spacing w:after="0"/>
        <w:rPr>
          <w:rFonts w:cstheme="minorHAnsi"/>
          <w:b/>
          <w:sz w:val="20"/>
          <w:szCs w:val="20"/>
        </w:rPr>
      </w:pPr>
      <w:r w:rsidRPr="00490DC4">
        <w:rPr>
          <w:rFonts w:cstheme="minorHAnsi"/>
          <w:b/>
          <w:sz w:val="20"/>
          <w:szCs w:val="20"/>
        </w:rPr>
        <w:t>CONFIRMING DEATH</w:t>
      </w:r>
    </w:p>
    <w:p w14:paraId="49C820F3" w14:textId="77777777" w:rsidR="0040248B" w:rsidRPr="00490DC4" w:rsidRDefault="0040248B" w:rsidP="0040248B">
      <w:pPr>
        <w:spacing w:after="0"/>
        <w:rPr>
          <w:rFonts w:cstheme="minorHAnsi"/>
          <w:b/>
          <w:sz w:val="20"/>
          <w:szCs w:val="20"/>
        </w:rPr>
      </w:pPr>
      <w:r w:rsidRPr="00490DC4">
        <w:rPr>
          <w:rFonts w:cstheme="minorHAnsi"/>
          <w:b/>
          <w:sz w:val="20"/>
          <w:szCs w:val="20"/>
        </w:rPr>
        <w:t>Since the anesthetic effects of CO2 are reversible, animals that a</w:t>
      </w:r>
      <w:r w:rsidR="00F87936">
        <w:rPr>
          <w:rFonts w:cstheme="minorHAnsi"/>
          <w:b/>
          <w:sz w:val="20"/>
          <w:szCs w:val="20"/>
        </w:rPr>
        <w:t xml:space="preserve">re prematurely removed from the </w:t>
      </w:r>
      <w:r w:rsidRPr="00490DC4">
        <w:rPr>
          <w:rFonts w:cstheme="minorHAnsi"/>
          <w:b/>
          <w:sz w:val="20"/>
          <w:szCs w:val="20"/>
        </w:rPr>
        <w:t>chamber prior to death can recover (</w:t>
      </w:r>
      <w:hyperlink r:id="rId22" w:history="1">
        <w:r w:rsidRPr="005E76E7">
          <w:rPr>
            <w:rStyle w:val="Hyperlink"/>
            <w:rFonts w:cstheme="minorHAnsi"/>
            <w:b/>
            <w:sz w:val="20"/>
            <w:szCs w:val="20"/>
          </w:rPr>
          <w:t>OLAW</w:t>
        </w:r>
      </w:hyperlink>
      <w:r w:rsidRPr="00490DC4">
        <w:rPr>
          <w:rFonts w:cstheme="minorHAnsi"/>
          <w:b/>
          <w:sz w:val="20"/>
          <w:szCs w:val="20"/>
        </w:rPr>
        <w:t>).  Furthermore, death s</w:t>
      </w:r>
      <w:r w:rsidR="00F87936">
        <w:rPr>
          <w:rFonts w:cstheme="minorHAnsi"/>
          <w:b/>
          <w:sz w:val="20"/>
          <w:szCs w:val="20"/>
        </w:rPr>
        <w:t xml:space="preserve">hould be confirmed by personnel </w:t>
      </w:r>
      <w:r w:rsidRPr="00490DC4">
        <w:rPr>
          <w:rFonts w:cstheme="minorHAnsi"/>
          <w:b/>
          <w:sz w:val="20"/>
          <w:szCs w:val="20"/>
        </w:rPr>
        <w:t>who have been specifically trained to recognize cessation of vital signs in r</w:t>
      </w:r>
      <w:r w:rsidR="00F87936">
        <w:rPr>
          <w:rFonts w:cstheme="minorHAnsi"/>
          <w:b/>
          <w:sz w:val="20"/>
          <w:szCs w:val="20"/>
        </w:rPr>
        <w:t>odents (</w:t>
      </w:r>
      <w:hyperlink r:id="rId23" w:history="1">
        <w:r w:rsidR="00F87936" w:rsidRPr="002D5B5C">
          <w:rPr>
            <w:rStyle w:val="Hyperlink"/>
            <w:rFonts w:cstheme="minorHAnsi"/>
            <w:b/>
            <w:sz w:val="20"/>
            <w:szCs w:val="20"/>
          </w:rPr>
          <w:t>Guide</w:t>
        </w:r>
      </w:hyperlink>
      <w:r w:rsidR="00F87936">
        <w:rPr>
          <w:rFonts w:cstheme="minorHAnsi"/>
          <w:b/>
          <w:sz w:val="20"/>
          <w:szCs w:val="20"/>
        </w:rPr>
        <w:t xml:space="preserve">).  Therefore, all </w:t>
      </w:r>
      <w:r w:rsidRPr="00490DC4">
        <w:rPr>
          <w:rFonts w:cstheme="minorHAnsi"/>
          <w:b/>
          <w:sz w:val="20"/>
          <w:szCs w:val="20"/>
        </w:rPr>
        <w:t>animals being euthanized with CO2 overdose must also receive a confir</w:t>
      </w:r>
      <w:r w:rsidR="00F87936">
        <w:rPr>
          <w:rFonts w:cstheme="minorHAnsi"/>
          <w:b/>
          <w:sz w:val="20"/>
          <w:szCs w:val="20"/>
        </w:rPr>
        <w:t xml:space="preserve">matory method of euthanasia to </w:t>
      </w:r>
      <w:r w:rsidRPr="00490DC4">
        <w:rPr>
          <w:rFonts w:cstheme="minorHAnsi"/>
          <w:b/>
          <w:sz w:val="20"/>
          <w:szCs w:val="20"/>
        </w:rPr>
        <w:t>ensure death.  These confirmatory methods, to be performed after carbon dioxide overdose, include</w:t>
      </w:r>
    </w:p>
    <w:p w14:paraId="1DA4E611" w14:textId="77777777" w:rsidR="0040248B" w:rsidRPr="00490DC4" w:rsidRDefault="0040248B" w:rsidP="0040248B">
      <w:pPr>
        <w:spacing w:after="0"/>
        <w:rPr>
          <w:rFonts w:cstheme="minorHAnsi"/>
          <w:b/>
          <w:sz w:val="20"/>
          <w:szCs w:val="20"/>
        </w:rPr>
      </w:pPr>
      <w:r w:rsidRPr="00490DC4">
        <w:rPr>
          <w:rFonts w:cstheme="minorHAnsi"/>
          <w:b/>
          <w:sz w:val="20"/>
          <w:szCs w:val="20"/>
        </w:rPr>
        <w:t xml:space="preserve">exsanguination, decapitation, cervical dislocation, bilateral thoracotomy, </w:t>
      </w:r>
      <w:r w:rsidR="00F87936">
        <w:rPr>
          <w:rFonts w:cstheme="minorHAnsi"/>
          <w:b/>
          <w:sz w:val="20"/>
          <w:szCs w:val="20"/>
        </w:rPr>
        <w:t xml:space="preserve">or at least 50% additional time </w:t>
      </w:r>
      <w:r w:rsidRPr="00490DC4">
        <w:rPr>
          <w:rFonts w:cstheme="minorHAnsi"/>
          <w:b/>
          <w:sz w:val="20"/>
          <w:szCs w:val="20"/>
        </w:rPr>
        <w:t>in the euthanasia chamber filled with 100% CO2.</w:t>
      </w:r>
    </w:p>
    <w:p w14:paraId="5A1AE135" w14:textId="77777777" w:rsidR="0040248B" w:rsidRPr="00F87936" w:rsidRDefault="0040248B" w:rsidP="00F87936">
      <w:pPr>
        <w:spacing w:after="0"/>
        <w:ind w:left="720"/>
        <w:rPr>
          <w:rFonts w:cstheme="minorHAnsi"/>
          <w:b/>
          <w:i/>
          <w:sz w:val="20"/>
          <w:szCs w:val="20"/>
        </w:rPr>
      </w:pPr>
      <w:r w:rsidRPr="00451C3D">
        <w:rPr>
          <w:rFonts w:cstheme="minorHAnsi"/>
          <w:b/>
          <w:i/>
          <w:sz w:val="20"/>
          <w:szCs w:val="20"/>
        </w:rPr>
        <w:t>Death must be verified after euthanasia and prior to disposal. Unintended recovery must be</w:t>
      </w:r>
      <w:r w:rsidR="00F87936">
        <w:rPr>
          <w:rFonts w:cstheme="minorHAnsi"/>
          <w:b/>
          <w:i/>
          <w:sz w:val="20"/>
          <w:szCs w:val="20"/>
        </w:rPr>
        <w:t xml:space="preserve"> </w:t>
      </w:r>
      <w:r w:rsidRPr="00451C3D">
        <w:rPr>
          <w:rFonts w:cstheme="minorHAnsi"/>
          <w:b/>
          <w:i/>
          <w:sz w:val="20"/>
          <w:szCs w:val="20"/>
        </w:rPr>
        <w:t>obviated by the use of appropriate CO2 concentrations and exposure times or by other means.”</w:t>
      </w:r>
      <w:r w:rsidR="00451C3D">
        <w:rPr>
          <w:rFonts w:cstheme="minorHAnsi"/>
          <w:b/>
          <w:sz w:val="20"/>
          <w:szCs w:val="20"/>
        </w:rPr>
        <w:t xml:space="preserve"> </w:t>
      </w:r>
      <w:r w:rsidRPr="00490DC4">
        <w:rPr>
          <w:rFonts w:cstheme="minorHAnsi"/>
          <w:b/>
          <w:sz w:val="20"/>
          <w:szCs w:val="20"/>
        </w:rPr>
        <w:t>(</w:t>
      </w:r>
      <w:hyperlink r:id="rId24" w:history="1">
        <w:r w:rsidRPr="005D3739">
          <w:rPr>
            <w:rStyle w:val="Hyperlink"/>
            <w:rFonts w:cstheme="minorHAnsi"/>
            <w:b/>
            <w:sz w:val="20"/>
            <w:szCs w:val="20"/>
          </w:rPr>
          <w:t>PHS</w:t>
        </w:r>
      </w:hyperlink>
      <w:r w:rsidRPr="00490DC4">
        <w:rPr>
          <w:rFonts w:cstheme="minorHAnsi"/>
          <w:b/>
          <w:sz w:val="20"/>
          <w:szCs w:val="20"/>
        </w:rPr>
        <w:t>)</w:t>
      </w:r>
    </w:p>
    <w:p w14:paraId="543E8F96" w14:textId="77777777" w:rsidR="00451C3D" w:rsidRDefault="00451C3D" w:rsidP="0040248B">
      <w:pPr>
        <w:spacing w:after="0"/>
        <w:rPr>
          <w:rFonts w:cstheme="minorHAnsi"/>
          <w:b/>
          <w:sz w:val="20"/>
          <w:szCs w:val="20"/>
        </w:rPr>
      </w:pPr>
    </w:p>
    <w:p w14:paraId="7F174574" w14:textId="77777777" w:rsidR="0040248B" w:rsidRPr="00490DC4" w:rsidRDefault="0040248B" w:rsidP="0040248B">
      <w:pPr>
        <w:spacing w:after="0"/>
        <w:rPr>
          <w:rFonts w:cstheme="minorHAnsi"/>
          <w:b/>
          <w:sz w:val="20"/>
          <w:szCs w:val="20"/>
        </w:rPr>
      </w:pPr>
      <w:r w:rsidRPr="00490DC4">
        <w:rPr>
          <w:rFonts w:cstheme="minorHAnsi"/>
          <w:b/>
          <w:sz w:val="20"/>
          <w:szCs w:val="20"/>
        </w:rPr>
        <w:t>Death of the animal must be ensured prior to disposal of the rodent carcas</w:t>
      </w:r>
      <w:r w:rsidR="00F87936">
        <w:rPr>
          <w:rFonts w:cstheme="minorHAnsi"/>
          <w:b/>
          <w:sz w:val="20"/>
          <w:szCs w:val="20"/>
        </w:rPr>
        <w:t xml:space="preserve">s.  Failure to confirm death of </w:t>
      </w:r>
      <w:proofErr w:type="gramStart"/>
      <w:r w:rsidR="008A0827" w:rsidRPr="00490DC4">
        <w:rPr>
          <w:rFonts w:cstheme="minorHAnsi"/>
          <w:b/>
          <w:sz w:val="20"/>
          <w:szCs w:val="20"/>
        </w:rPr>
        <w:t>an</w:t>
      </w:r>
      <w:proofErr w:type="gramEnd"/>
      <w:r w:rsidRPr="00490DC4">
        <w:rPr>
          <w:rFonts w:cstheme="minorHAnsi"/>
          <w:b/>
          <w:sz w:val="20"/>
          <w:szCs w:val="20"/>
        </w:rPr>
        <w:t xml:space="preserve"> euthanized rodent is a significant non‐compliance, reportable to</w:t>
      </w:r>
      <w:r w:rsidR="00F87936">
        <w:rPr>
          <w:rFonts w:cstheme="minorHAnsi"/>
          <w:b/>
          <w:sz w:val="20"/>
          <w:szCs w:val="20"/>
        </w:rPr>
        <w:t xml:space="preserve"> the appropriate regulatory and </w:t>
      </w:r>
      <w:r w:rsidRPr="00490DC4">
        <w:rPr>
          <w:rFonts w:cstheme="minorHAnsi"/>
          <w:b/>
          <w:sz w:val="20"/>
          <w:szCs w:val="20"/>
        </w:rPr>
        <w:t>accrediting agencies.</w:t>
      </w:r>
    </w:p>
    <w:p w14:paraId="3AD07CC9" w14:textId="77777777" w:rsidR="0040248B" w:rsidRDefault="0040248B" w:rsidP="00F87936">
      <w:pPr>
        <w:spacing w:after="0"/>
        <w:ind w:firstLine="720"/>
        <w:rPr>
          <w:rFonts w:cstheme="minorHAnsi"/>
          <w:b/>
          <w:sz w:val="20"/>
          <w:szCs w:val="20"/>
        </w:rPr>
      </w:pPr>
      <w:r w:rsidRPr="00F87936">
        <w:rPr>
          <w:rFonts w:cstheme="minorHAnsi"/>
          <w:b/>
          <w:i/>
          <w:sz w:val="20"/>
          <w:szCs w:val="20"/>
        </w:rPr>
        <w:t>“Unintended recovery of animals after apparent death from CO2…constitute[s] serious</w:t>
      </w:r>
      <w:r w:rsidR="00F87936" w:rsidRPr="00F87936">
        <w:rPr>
          <w:rFonts w:cstheme="minorHAnsi"/>
          <w:b/>
          <w:i/>
          <w:sz w:val="20"/>
          <w:szCs w:val="20"/>
        </w:rPr>
        <w:t xml:space="preserve"> </w:t>
      </w:r>
      <w:r w:rsidRPr="00F87936">
        <w:rPr>
          <w:rFonts w:cstheme="minorHAnsi"/>
          <w:b/>
          <w:i/>
          <w:sz w:val="20"/>
          <w:szCs w:val="20"/>
        </w:rPr>
        <w:t>noncompliance with the PHS Policy and… the IACUC, through the Institutional Official, must</w:t>
      </w:r>
      <w:r w:rsidR="00F87936" w:rsidRPr="00F87936">
        <w:rPr>
          <w:rFonts w:cstheme="minorHAnsi"/>
          <w:b/>
          <w:i/>
          <w:sz w:val="20"/>
          <w:szCs w:val="20"/>
        </w:rPr>
        <w:t xml:space="preserve"> </w:t>
      </w:r>
      <w:r w:rsidRPr="00F87936">
        <w:rPr>
          <w:rFonts w:cstheme="minorHAnsi"/>
          <w:b/>
          <w:i/>
          <w:sz w:val="20"/>
          <w:szCs w:val="20"/>
        </w:rPr>
        <w:t>promptly provide OLAW with a full explanation of the circumstances and actions taken.”</w:t>
      </w:r>
      <w:r w:rsidRPr="00490DC4">
        <w:rPr>
          <w:rFonts w:cstheme="minorHAnsi"/>
          <w:b/>
          <w:sz w:val="20"/>
          <w:szCs w:val="20"/>
        </w:rPr>
        <w:t xml:space="preserve"> (</w:t>
      </w:r>
      <w:hyperlink r:id="rId25" w:history="1">
        <w:r w:rsidRPr="005D3739">
          <w:rPr>
            <w:rStyle w:val="Hyperlink"/>
            <w:rFonts w:cstheme="minorHAnsi"/>
            <w:b/>
            <w:sz w:val="20"/>
            <w:szCs w:val="20"/>
          </w:rPr>
          <w:t>PHS</w:t>
        </w:r>
      </w:hyperlink>
      <w:r w:rsidRPr="00490DC4">
        <w:rPr>
          <w:rFonts w:cstheme="minorHAnsi"/>
          <w:b/>
          <w:sz w:val="20"/>
          <w:szCs w:val="20"/>
        </w:rPr>
        <w:t>)</w:t>
      </w:r>
    </w:p>
    <w:p w14:paraId="6B4FF86B" w14:textId="77777777" w:rsidR="00451C3D" w:rsidRPr="00490DC4" w:rsidRDefault="00451C3D" w:rsidP="006562E3">
      <w:pPr>
        <w:spacing w:after="0"/>
        <w:rPr>
          <w:rFonts w:cstheme="minorHAnsi"/>
          <w:b/>
          <w:sz w:val="20"/>
          <w:szCs w:val="20"/>
        </w:rPr>
      </w:pPr>
    </w:p>
    <w:p w14:paraId="75FA130F" w14:textId="77777777" w:rsidR="0040248B" w:rsidRPr="00490DC4" w:rsidRDefault="0040248B" w:rsidP="0040248B">
      <w:pPr>
        <w:spacing w:after="0"/>
        <w:rPr>
          <w:rFonts w:cstheme="minorHAnsi"/>
          <w:b/>
          <w:sz w:val="20"/>
          <w:szCs w:val="20"/>
        </w:rPr>
      </w:pPr>
      <w:r w:rsidRPr="00490DC4">
        <w:rPr>
          <w:rFonts w:cstheme="minorHAnsi"/>
          <w:b/>
          <w:sz w:val="20"/>
          <w:szCs w:val="20"/>
        </w:rPr>
        <w:t>EXEMPTIONS</w:t>
      </w:r>
    </w:p>
    <w:p w14:paraId="15BA1FC3" w14:textId="77777777" w:rsidR="00451C3D" w:rsidRDefault="0040248B" w:rsidP="0040248B">
      <w:pPr>
        <w:spacing w:after="0"/>
        <w:rPr>
          <w:rFonts w:cstheme="minorHAnsi"/>
          <w:b/>
          <w:sz w:val="20"/>
          <w:szCs w:val="20"/>
        </w:rPr>
      </w:pPr>
      <w:r w:rsidRPr="00490DC4">
        <w:rPr>
          <w:rFonts w:cstheme="minorHAnsi"/>
          <w:b/>
          <w:sz w:val="20"/>
          <w:szCs w:val="20"/>
        </w:rPr>
        <w:t>Methods of euthanasia used will be consistent with the recommenda</w:t>
      </w:r>
      <w:r w:rsidR="00F87936">
        <w:rPr>
          <w:rFonts w:cstheme="minorHAnsi"/>
          <w:b/>
          <w:sz w:val="20"/>
          <w:szCs w:val="20"/>
        </w:rPr>
        <w:t xml:space="preserve">tions of the AVMA Guidelines on </w:t>
      </w:r>
      <w:r w:rsidRPr="00490DC4">
        <w:rPr>
          <w:rFonts w:cstheme="minorHAnsi"/>
          <w:b/>
          <w:sz w:val="20"/>
          <w:szCs w:val="20"/>
        </w:rPr>
        <w:t>Euthanasia, unless a deviation is justified for scientific reasons in wr</w:t>
      </w:r>
      <w:r w:rsidR="00F87936">
        <w:rPr>
          <w:rFonts w:cstheme="minorHAnsi"/>
          <w:b/>
          <w:sz w:val="20"/>
          <w:szCs w:val="20"/>
        </w:rPr>
        <w:t xml:space="preserve">iting by the investigator.  Any </w:t>
      </w:r>
      <w:r w:rsidRPr="00490DC4">
        <w:rPr>
          <w:rFonts w:cstheme="minorHAnsi"/>
          <w:b/>
          <w:sz w:val="20"/>
          <w:szCs w:val="20"/>
        </w:rPr>
        <w:t>departures from these guidelines will require the PI to provide strong scientifi</w:t>
      </w:r>
      <w:r w:rsidR="00F87936">
        <w:rPr>
          <w:rFonts w:cstheme="minorHAnsi"/>
          <w:b/>
          <w:sz w:val="20"/>
          <w:szCs w:val="20"/>
        </w:rPr>
        <w:t xml:space="preserve">c and clinical justifications </w:t>
      </w:r>
      <w:r w:rsidRPr="00490DC4">
        <w:rPr>
          <w:rFonts w:cstheme="minorHAnsi"/>
          <w:b/>
          <w:sz w:val="20"/>
          <w:szCs w:val="20"/>
        </w:rPr>
        <w:t xml:space="preserve">for the exemption.  These justifications must be submitted </w:t>
      </w:r>
      <w:r w:rsidR="00451C3D">
        <w:rPr>
          <w:rFonts w:cstheme="minorHAnsi"/>
          <w:b/>
          <w:sz w:val="20"/>
          <w:szCs w:val="20"/>
        </w:rPr>
        <w:t>and will be reviewed by the IACUC.</w:t>
      </w:r>
    </w:p>
    <w:p w14:paraId="20613251" w14:textId="77777777" w:rsidR="00451C3D" w:rsidRPr="00490DC4" w:rsidRDefault="00451C3D" w:rsidP="0040248B">
      <w:pPr>
        <w:spacing w:after="0"/>
        <w:rPr>
          <w:rFonts w:cstheme="minorHAnsi"/>
          <w:b/>
          <w:sz w:val="20"/>
          <w:szCs w:val="20"/>
        </w:rPr>
      </w:pPr>
    </w:p>
    <w:p w14:paraId="4BD402ED" w14:textId="77777777" w:rsidR="0040248B" w:rsidRPr="00490DC4" w:rsidRDefault="0040248B" w:rsidP="0040248B">
      <w:pPr>
        <w:spacing w:after="0"/>
        <w:rPr>
          <w:rFonts w:cstheme="minorHAnsi"/>
          <w:b/>
          <w:sz w:val="20"/>
          <w:szCs w:val="20"/>
        </w:rPr>
      </w:pPr>
      <w:r w:rsidRPr="00490DC4">
        <w:rPr>
          <w:rFonts w:cstheme="minorHAnsi"/>
          <w:b/>
          <w:sz w:val="20"/>
          <w:szCs w:val="20"/>
        </w:rPr>
        <w:t>REFERENCES</w:t>
      </w:r>
    </w:p>
    <w:p w14:paraId="1F810C1A" w14:textId="77777777" w:rsidR="0040248B" w:rsidRPr="00490DC4" w:rsidRDefault="0040248B" w:rsidP="0040248B">
      <w:pPr>
        <w:spacing w:after="0"/>
        <w:rPr>
          <w:rFonts w:cstheme="minorHAnsi"/>
          <w:b/>
          <w:sz w:val="20"/>
          <w:szCs w:val="20"/>
        </w:rPr>
      </w:pPr>
      <w:r w:rsidRPr="00490DC4">
        <w:rPr>
          <w:rFonts w:cstheme="minorHAnsi"/>
          <w:b/>
          <w:sz w:val="20"/>
          <w:szCs w:val="20"/>
        </w:rPr>
        <w:t>American College of Laboratory Animal Medicine Report of the ACLAM Task Force on Rodent Euthanasia (</w:t>
      </w:r>
      <w:hyperlink r:id="rId26" w:history="1">
        <w:r w:rsidRPr="005E76E7">
          <w:rPr>
            <w:rStyle w:val="Hyperlink"/>
            <w:rFonts w:cstheme="minorHAnsi"/>
            <w:b/>
            <w:sz w:val="20"/>
            <w:szCs w:val="20"/>
          </w:rPr>
          <w:t>ACLAM</w:t>
        </w:r>
      </w:hyperlink>
      <w:r w:rsidRPr="00490DC4">
        <w:rPr>
          <w:rFonts w:cstheme="minorHAnsi"/>
          <w:b/>
          <w:sz w:val="20"/>
          <w:szCs w:val="20"/>
        </w:rPr>
        <w:t>)</w:t>
      </w:r>
    </w:p>
    <w:p w14:paraId="34B9F84B" w14:textId="77777777" w:rsidR="0040248B" w:rsidRPr="00490DC4" w:rsidRDefault="0040248B" w:rsidP="0040248B">
      <w:pPr>
        <w:spacing w:after="0"/>
        <w:rPr>
          <w:rFonts w:cstheme="minorHAnsi"/>
          <w:b/>
          <w:sz w:val="20"/>
          <w:szCs w:val="20"/>
        </w:rPr>
      </w:pPr>
      <w:r w:rsidRPr="00490DC4">
        <w:rPr>
          <w:rFonts w:cstheme="minorHAnsi"/>
          <w:b/>
          <w:sz w:val="20"/>
          <w:szCs w:val="20"/>
        </w:rPr>
        <w:t>American Veterinary Medical Association Guidelines for Euthanasia (2007) (</w:t>
      </w:r>
      <w:hyperlink r:id="rId27" w:history="1">
        <w:r w:rsidRPr="005E76E7">
          <w:rPr>
            <w:rStyle w:val="Hyperlink"/>
            <w:rFonts w:cstheme="minorHAnsi"/>
            <w:b/>
            <w:sz w:val="20"/>
            <w:szCs w:val="20"/>
          </w:rPr>
          <w:t>AVMA</w:t>
        </w:r>
      </w:hyperlink>
      <w:r w:rsidRPr="00490DC4">
        <w:rPr>
          <w:rFonts w:cstheme="minorHAnsi"/>
          <w:b/>
          <w:sz w:val="20"/>
          <w:szCs w:val="20"/>
        </w:rPr>
        <w:t>)</w:t>
      </w:r>
    </w:p>
    <w:p w14:paraId="5D772D96" w14:textId="77777777" w:rsidR="0040248B" w:rsidRPr="00490DC4" w:rsidRDefault="0040248B" w:rsidP="0040248B">
      <w:pPr>
        <w:spacing w:after="0"/>
        <w:rPr>
          <w:rFonts w:cstheme="minorHAnsi"/>
          <w:b/>
          <w:sz w:val="20"/>
          <w:szCs w:val="20"/>
        </w:rPr>
      </w:pPr>
      <w:r w:rsidRPr="00490DC4">
        <w:rPr>
          <w:rFonts w:cstheme="minorHAnsi"/>
          <w:b/>
          <w:sz w:val="20"/>
          <w:szCs w:val="20"/>
        </w:rPr>
        <w:t>Guide for the Care and Use of Laboratory Animals (</w:t>
      </w:r>
      <w:hyperlink r:id="rId28" w:history="1">
        <w:r w:rsidRPr="005E76E7">
          <w:rPr>
            <w:rStyle w:val="Hyperlink"/>
            <w:rFonts w:cstheme="minorHAnsi"/>
            <w:b/>
            <w:sz w:val="20"/>
            <w:szCs w:val="20"/>
          </w:rPr>
          <w:t>Guide</w:t>
        </w:r>
      </w:hyperlink>
      <w:r w:rsidRPr="00490DC4">
        <w:rPr>
          <w:rFonts w:cstheme="minorHAnsi"/>
          <w:b/>
          <w:sz w:val="20"/>
          <w:szCs w:val="20"/>
        </w:rPr>
        <w:t>)</w:t>
      </w:r>
    </w:p>
    <w:p w14:paraId="401CB340" w14:textId="77777777" w:rsidR="0040248B" w:rsidRPr="00490DC4" w:rsidRDefault="0040248B" w:rsidP="0040248B">
      <w:pPr>
        <w:spacing w:after="0"/>
        <w:rPr>
          <w:rFonts w:cstheme="minorHAnsi"/>
          <w:b/>
          <w:sz w:val="20"/>
          <w:szCs w:val="20"/>
        </w:rPr>
      </w:pPr>
      <w:r w:rsidRPr="00490DC4">
        <w:rPr>
          <w:rFonts w:cstheme="minorHAnsi"/>
          <w:b/>
          <w:sz w:val="20"/>
          <w:szCs w:val="20"/>
        </w:rPr>
        <w:t>National Institutes of Health Guidelines for Euthanasia of Rodents Using Carbon Dioxide (</w:t>
      </w:r>
      <w:hyperlink r:id="rId29" w:history="1">
        <w:r w:rsidRPr="005D3739">
          <w:rPr>
            <w:rStyle w:val="Hyperlink"/>
            <w:rFonts w:cstheme="minorHAnsi"/>
            <w:b/>
            <w:sz w:val="20"/>
            <w:szCs w:val="20"/>
          </w:rPr>
          <w:t>NIH</w:t>
        </w:r>
      </w:hyperlink>
      <w:r w:rsidRPr="00490DC4">
        <w:rPr>
          <w:rFonts w:cstheme="minorHAnsi"/>
          <w:b/>
          <w:sz w:val="20"/>
          <w:szCs w:val="20"/>
        </w:rPr>
        <w:t>)</w:t>
      </w:r>
    </w:p>
    <w:p w14:paraId="28157D56" w14:textId="77777777" w:rsidR="0040248B" w:rsidRPr="00490DC4" w:rsidRDefault="0040248B" w:rsidP="0040248B">
      <w:pPr>
        <w:spacing w:after="0"/>
        <w:rPr>
          <w:rFonts w:cstheme="minorHAnsi"/>
          <w:b/>
          <w:sz w:val="20"/>
          <w:szCs w:val="20"/>
        </w:rPr>
      </w:pPr>
      <w:r w:rsidRPr="00490DC4">
        <w:rPr>
          <w:rFonts w:cstheme="minorHAnsi"/>
          <w:b/>
          <w:sz w:val="20"/>
          <w:szCs w:val="20"/>
        </w:rPr>
        <w:t>Office of Laboratory Animal Welfare IACUC Guidebook (</w:t>
      </w:r>
      <w:hyperlink r:id="rId30" w:history="1">
        <w:r w:rsidRPr="005E76E7">
          <w:rPr>
            <w:rStyle w:val="Hyperlink"/>
            <w:rFonts w:cstheme="minorHAnsi"/>
            <w:b/>
            <w:sz w:val="20"/>
            <w:szCs w:val="20"/>
          </w:rPr>
          <w:t>OLAW</w:t>
        </w:r>
      </w:hyperlink>
      <w:r w:rsidRPr="00490DC4">
        <w:rPr>
          <w:rFonts w:cstheme="minorHAnsi"/>
          <w:b/>
          <w:sz w:val="20"/>
          <w:szCs w:val="20"/>
        </w:rPr>
        <w:t>)</w:t>
      </w:r>
    </w:p>
    <w:p w14:paraId="5B7612F9" w14:textId="77777777" w:rsidR="0040248B" w:rsidRPr="00490DC4" w:rsidRDefault="0040248B" w:rsidP="0040248B">
      <w:pPr>
        <w:spacing w:after="0"/>
        <w:rPr>
          <w:rFonts w:cstheme="minorHAnsi"/>
          <w:b/>
          <w:sz w:val="20"/>
          <w:szCs w:val="20"/>
        </w:rPr>
      </w:pPr>
      <w:r w:rsidRPr="00490DC4">
        <w:rPr>
          <w:rFonts w:cstheme="minorHAnsi"/>
          <w:b/>
          <w:sz w:val="20"/>
          <w:szCs w:val="20"/>
        </w:rPr>
        <w:t>Public Health Service Policy: Clarification Regarding Use of Carbon Dioxide for Euthanasia of Small Laboratory</w:t>
      </w:r>
    </w:p>
    <w:p w14:paraId="5BC2C647" w14:textId="77777777" w:rsidR="0040248B" w:rsidRPr="00490DC4" w:rsidRDefault="0040248B" w:rsidP="0040248B">
      <w:pPr>
        <w:spacing w:after="0"/>
        <w:rPr>
          <w:rFonts w:cstheme="minorHAnsi"/>
          <w:b/>
          <w:sz w:val="20"/>
          <w:szCs w:val="20"/>
        </w:rPr>
      </w:pPr>
      <w:r w:rsidRPr="00490DC4">
        <w:rPr>
          <w:rFonts w:cstheme="minorHAnsi"/>
          <w:b/>
          <w:sz w:val="20"/>
          <w:szCs w:val="20"/>
        </w:rPr>
        <w:t>Animals (</w:t>
      </w:r>
      <w:hyperlink r:id="rId31" w:history="1">
        <w:r w:rsidRPr="005D3739">
          <w:rPr>
            <w:rStyle w:val="Hyperlink"/>
            <w:rFonts w:cstheme="minorHAnsi"/>
            <w:b/>
            <w:sz w:val="20"/>
            <w:szCs w:val="20"/>
          </w:rPr>
          <w:t>PHS</w:t>
        </w:r>
      </w:hyperlink>
      <w:r w:rsidRPr="00490DC4">
        <w:rPr>
          <w:rFonts w:cstheme="minorHAnsi"/>
          <w:b/>
          <w:sz w:val="20"/>
          <w:szCs w:val="20"/>
        </w:rPr>
        <w:t>)</w:t>
      </w:r>
    </w:p>
    <w:p w14:paraId="5A3D7A3E" w14:textId="77777777" w:rsidR="0040248B" w:rsidRPr="00490DC4" w:rsidRDefault="0040248B" w:rsidP="0040248B">
      <w:pPr>
        <w:spacing w:after="0"/>
        <w:rPr>
          <w:rFonts w:cstheme="minorHAnsi"/>
          <w:b/>
          <w:sz w:val="20"/>
          <w:szCs w:val="20"/>
        </w:rPr>
      </w:pPr>
      <w:r w:rsidRPr="00490DC4">
        <w:rPr>
          <w:rFonts w:cstheme="minorHAnsi"/>
          <w:b/>
          <w:sz w:val="20"/>
          <w:szCs w:val="20"/>
        </w:rPr>
        <w:t>Pritchett, K., D. Corrow, J. Stockwell, and A. Smith. 2005. Euthanasia of Neonatal Mice with Carbon Dioxide.</w:t>
      </w:r>
    </w:p>
    <w:p w14:paraId="03877E4F" w14:textId="77777777" w:rsidR="0040248B" w:rsidRPr="00490DC4" w:rsidRDefault="0040248B" w:rsidP="0040248B">
      <w:pPr>
        <w:spacing w:after="0"/>
        <w:rPr>
          <w:rFonts w:cstheme="minorHAnsi"/>
          <w:b/>
          <w:sz w:val="20"/>
          <w:szCs w:val="20"/>
        </w:rPr>
      </w:pPr>
      <w:r w:rsidRPr="00490DC4">
        <w:rPr>
          <w:rFonts w:cstheme="minorHAnsi"/>
          <w:b/>
          <w:sz w:val="20"/>
          <w:szCs w:val="20"/>
        </w:rPr>
        <w:t>Comparative Medicine 55(3): 275‐281.</w:t>
      </w:r>
    </w:p>
    <w:p w14:paraId="000551C1" w14:textId="77777777" w:rsidR="000C095F" w:rsidRPr="00490DC4" w:rsidRDefault="0040248B" w:rsidP="0040248B">
      <w:pPr>
        <w:spacing w:after="0"/>
        <w:rPr>
          <w:rFonts w:cstheme="minorHAnsi"/>
          <w:b/>
          <w:sz w:val="20"/>
          <w:szCs w:val="20"/>
        </w:rPr>
      </w:pPr>
      <w:r w:rsidRPr="00490DC4">
        <w:rPr>
          <w:rFonts w:cstheme="minorHAnsi"/>
          <w:b/>
          <w:sz w:val="20"/>
          <w:szCs w:val="20"/>
        </w:rPr>
        <w:t>Pritchett‐Corning, K. 2009. Euthanasia of Neonatal Rats with Carbon Dioxide.  JAALAS 48(1): 23‐27.</w:t>
      </w:r>
    </w:p>
    <w:sectPr w:rsidR="000C095F" w:rsidRPr="00490DC4" w:rsidSect="00490D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8B"/>
    <w:rsid w:val="00060BF4"/>
    <w:rsid w:val="000C095F"/>
    <w:rsid w:val="000E1687"/>
    <w:rsid w:val="00127BD8"/>
    <w:rsid w:val="00157CFA"/>
    <w:rsid w:val="0016281F"/>
    <w:rsid w:val="002D5B5C"/>
    <w:rsid w:val="002E0DD0"/>
    <w:rsid w:val="0033517E"/>
    <w:rsid w:val="003A7F6B"/>
    <w:rsid w:val="0040248B"/>
    <w:rsid w:val="00451C3D"/>
    <w:rsid w:val="00462C2A"/>
    <w:rsid w:val="00466AC9"/>
    <w:rsid w:val="00490DC4"/>
    <w:rsid w:val="005976BA"/>
    <w:rsid w:val="005D3739"/>
    <w:rsid w:val="005E76E7"/>
    <w:rsid w:val="006562E3"/>
    <w:rsid w:val="00741A11"/>
    <w:rsid w:val="008A0827"/>
    <w:rsid w:val="008F474A"/>
    <w:rsid w:val="009A5DE4"/>
    <w:rsid w:val="00A12416"/>
    <w:rsid w:val="00AD1AAD"/>
    <w:rsid w:val="00BD4F08"/>
    <w:rsid w:val="00C1117E"/>
    <w:rsid w:val="00C908A5"/>
    <w:rsid w:val="00E43704"/>
    <w:rsid w:val="00E4764F"/>
    <w:rsid w:val="00F67BAB"/>
    <w:rsid w:val="00F8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5143"/>
  <w15:docId w15:val="{5FBC22FA-7BF7-4E7F-835A-72B7F0B0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8B"/>
    <w:rPr>
      <w:rFonts w:ascii="Tahoma" w:hAnsi="Tahoma" w:cs="Tahoma"/>
      <w:sz w:val="16"/>
      <w:szCs w:val="16"/>
    </w:rPr>
  </w:style>
  <w:style w:type="paragraph" w:styleId="HTMLPreformatted">
    <w:name w:val="HTML Preformatted"/>
    <w:basedOn w:val="Normal"/>
    <w:link w:val="HTMLPreformattedChar"/>
    <w:uiPriority w:val="99"/>
    <w:unhideWhenUsed/>
    <w:rsid w:val="00C90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08A5"/>
    <w:rPr>
      <w:rFonts w:ascii="Courier New" w:eastAsia="Times New Roman" w:hAnsi="Courier New" w:cs="Courier New"/>
      <w:sz w:val="20"/>
      <w:szCs w:val="20"/>
    </w:rPr>
  </w:style>
  <w:style w:type="character" w:styleId="Hyperlink">
    <w:name w:val="Hyperlink"/>
    <w:basedOn w:val="DefaultParagraphFont"/>
    <w:uiPriority w:val="99"/>
    <w:unhideWhenUsed/>
    <w:rsid w:val="005D37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4914">
      <w:bodyDiv w:val="1"/>
      <w:marLeft w:val="0"/>
      <w:marRight w:val="0"/>
      <w:marTop w:val="0"/>
      <w:marBottom w:val="0"/>
      <w:divBdr>
        <w:top w:val="none" w:sz="0" w:space="0" w:color="auto"/>
        <w:left w:val="none" w:sz="0" w:space="0" w:color="auto"/>
        <w:bottom w:val="none" w:sz="0" w:space="0" w:color="auto"/>
        <w:right w:val="none" w:sz="0" w:space="0" w:color="auto"/>
      </w:divBdr>
    </w:div>
    <w:div w:id="1498614924">
      <w:bodyDiv w:val="1"/>
      <w:marLeft w:val="0"/>
      <w:marRight w:val="0"/>
      <w:marTop w:val="0"/>
      <w:marBottom w:val="0"/>
      <w:divBdr>
        <w:top w:val="none" w:sz="0" w:space="0" w:color="auto"/>
        <w:left w:val="none" w:sz="0" w:space="0" w:color="auto"/>
        <w:bottom w:val="none" w:sz="0" w:space="0" w:color="auto"/>
        <w:right w:val="none" w:sz="0" w:space="0" w:color="auto"/>
      </w:divBdr>
    </w:div>
    <w:div w:id="1585840163">
      <w:bodyDiv w:val="1"/>
      <w:marLeft w:val="0"/>
      <w:marRight w:val="0"/>
      <w:marTop w:val="0"/>
      <w:marBottom w:val="0"/>
      <w:divBdr>
        <w:top w:val="none" w:sz="0" w:space="0" w:color="auto"/>
        <w:left w:val="none" w:sz="0" w:space="0" w:color="auto"/>
        <w:bottom w:val="none" w:sz="0" w:space="0" w:color="auto"/>
        <w:right w:val="none" w:sz="0" w:space="0" w:color="auto"/>
      </w:divBdr>
    </w:div>
    <w:div w:id="1962102350">
      <w:bodyDiv w:val="1"/>
      <w:marLeft w:val="0"/>
      <w:marRight w:val="0"/>
      <w:marTop w:val="0"/>
      <w:marBottom w:val="0"/>
      <w:divBdr>
        <w:top w:val="none" w:sz="0" w:space="0" w:color="auto"/>
        <w:left w:val="none" w:sz="0" w:space="0" w:color="auto"/>
        <w:bottom w:val="none" w:sz="0" w:space="0" w:color="auto"/>
        <w:right w:val="none" w:sz="0" w:space="0" w:color="auto"/>
      </w:divBdr>
    </w:div>
    <w:div w:id="20595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olaw/guidebook.pdf" TargetMode="External"/><Relationship Id="rId18" Type="http://schemas.openxmlformats.org/officeDocument/2006/relationships/hyperlink" Target="http://www.aclam.org/content/files/files/public/active/report_rodent_euth.pdf" TargetMode="External"/><Relationship Id="rId26" Type="http://schemas.openxmlformats.org/officeDocument/2006/relationships/hyperlink" Target="http://www.aclam.org/content/files/files/public/active/report_rodent_euth.pdf" TargetMode="External"/><Relationship Id="rId3" Type="http://schemas.openxmlformats.org/officeDocument/2006/relationships/webSettings" Target="webSettings.xml"/><Relationship Id="rId21" Type="http://schemas.openxmlformats.org/officeDocument/2006/relationships/hyperlink" Target="http://www.aclam.org/content/files/files/public/active/report_rodent_euth.pdf" TargetMode="External"/><Relationship Id="rId7" Type="http://schemas.openxmlformats.org/officeDocument/2006/relationships/hyperlink" Target="http://oacu.od.nih.gov/ARAC/documents/Rodent_Euthanasia_Adult.pdf" TargetMode="External"/><Relationship Id="rId12" Type="http://schemas.openxmlformats.org/officeDocument/2006/relationships/hyperlink" Target="https://www.avma.org/KB/Policies/Documents/euthanasia.pdf" TargetMode="External"/><Relationship Id="rId17" Type="http://schemas.openxmlformats.org/officeDocument/2006/relationships/hyperlink" Target="http://grants.nih.gov/grants/olaw/guidebook.pdf" TargetMode="External"/><Relationship Id="rId25" Type="http://schemas.openxmlformats.org/officeDocument/2006/relationships/hyperlink" Target="http://grants.nih.gov/grants/guide/notice-files/NOT-OD-02-062.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oacu.od.nih.gov/ARAC/documents/Rodent_Euthanasia_Adult.pdf" TargetMode="External"/><Relationship Id="rId20" Type="http://schemas.openxmlformats.org/officeDocument/2006/relationships/hyperlink" Target="http://grants.nih.gov/grants/guide/notice-files/NOT-OD-02-062.html" TargetMode="External"/><Relationship Id="rId29" Type="http://schemas.openxmlformats.org/officeDocument/2006/relationships/hyperlink" Target="http://oacu.od.nih.gov/ARAC/documents/Rodent_Euthanasia_Adult.pdf" TargetMode="External"/><Relationship Id="rId1" Type="http://schemas.openxmlformats.org/officeDocument/2006/relationships/styles" Target="styles.xml"/><Relationship Id="rId6" Type="http://schemas.openxmlformats.org/officeDocument/2006/relationships/hyperlink" Target="http://grants.nih.gov/grants/olaw/guidebook.pdf" TargetMode="External"/><Relationship Id="rId11" Type="http://schemas.openxmlformats.org/officeDocument/2006/relationships/hyperlink" Target="http://grants.nih.gov/grants/guide/notice-files/NOT-OD-02-062.html" TargetMode="External"/><Relationship Id="rId24" Type="http://schemas.openxmlformats.org/officeDocument/2006/relationships/hyperlink" Target="http://grants.nih.gov/grants/guide/notice-files/NOT-OD-02-062.html" TargetMode="External"/><Relationship Id="rId32" Type="http://schemas.openxmlformats.org/officeDocument/2006/relationships/fontTable" Target="fontTable.xml"/><Relationship Id="rId5" Type="http://schemas.openxmlformats.org/officeDocument/2006/relationships/hyperlink" Target="http://grants.nih.gov/grants/guide/notice-files/NOT-OD-02-062.html" TargetMode="External"/><Relationship Id="rId15" Type="http://schemas.openxmlformats.org/officeDocument/2006/relationships/hyperlink" Target="http://oacu.od.nih.gov/ARAC/documents/Rodent_Euthanasia_Adult.pdf" TargetMode="External"/><Relationship Id="rId23" Type="http://schemas.openxmlformats.org/officeDocument/2006/relationships/hyperlink" Target="http://grants.nih.gov/grants/olaw/Guide-for-the-care-and-use-of-Laboratory-animals.pdf" TargetMode="External"/><Relationship Id="rId28" Type="http://schemas.openxmlformats.org/officeDocument/2006/relationships/hyperlink" Target="http://grants.nih.gov/grants/olaw/Guide-for-the-care-and-use-of-Laboratory-animals.pdf" TargetMode="External"/><Relationship Id="rId10" Type="http://schemas.openxmlformats.org/officeDocument/2006/relationships/hyperlink" Target="http://grants.nih.gov/grants/guide/notice-files/NOT-OD-02-062.html" TargetMode="External"/><Relationship Id="rId19" Type="http://schemas.openxmlformats.org/officeDocument/2006/relationships/hyperlink" Target="http://oacu.od.nih.gov/ARAC/documents/Rodent_Euthanasia_Adult.pdf" TargetMode="External"/><Relationship Id="rId31" Type="http://schemas.openxmlformats.org/officeDocument/2006/relationships/hyperlink" Target="http://grants.nih.gov/grants/guide/notice-files/NOT-OD-02-062.html" TargetMode="External"/><Relationship Id="rId4" Type="http://schemas.openxmlformats.org/officeDocument/2006/relationships/hyperlink" Target="http://www.aclam.org/content/files/files/public/active/report_rodent_euth.pdf" TargetMode="External"/><Relationship Id="rId9" Type="http://schemas.openxmlformats.org/officeDocument/2006/relationships/hyperlink" Target="http://grants.nih.gov/grants/olaw/Guide-for-the-care-and-use-of-Laboratory-animals.pdf" TargetMode="External"/><Relationship Id="rId14" Type="http://schemas.openxmlformats.org/officeDocument/2006/relationships/hyperlink" Target="http://oacu.od.nih.gov/ARAC/documents/Rodent_Euthanasia_Adult.pdf" TargetMode="External"/><Relationship Id="rId22" Type="http://schemas.openxmlformats.org/officeDocument/2006/relationships/hyperlink" Target="http://grants.nih.gov/grants/olaw/guidebook.pdf" TargetMode="External"/><Relationship Id="rId27" Type="http://schemas.openxmlformats.org/officeDocument/2006/relationships/hyperlink" Target="https://www.avma.org/KB/Policies/Documents/euthanasia.pdf" TargetMode="External"/><Relationship Id="rId30" Type="http://schemas.openxmlformats.org/officeDocument/2006/relationships/hyperlink" Target="http://grants.nih.gov/grants/olaw/guidebook.pdf" TargetMode="External"/><Relationship Id="rId8" Type="http://schemas.openxmlformats.org/officeDocument/2006/relationships/hyperlink" Target="https://www.avma.org/KB/Policies/Documents/euthana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1494</Words>
  <Characters>8474</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Coty Lee</dc:creator>
  <cp:lastModifiedBy>Marcia Wells</cp:lastModifiedBy>
  <cp:revision>4</cp:revision>
  <cp:lastPrinted>2012-09-26T16:15:00Z</cp:lastPrinted>
  <dcterms:created xsi:type="dcterms:W3CDTF">2026-03-17T18:19:00Z</dcterms:created>
  <dcterms:modified xsi:type="dcterms:W3CDTF">2026-03-26T15:16:00Z</dcterms:modified>
</cp:coreProperties>
</file>